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自贡市纪委监委廉政教育中心</w:t>
      </w:r>
    </w:p>
    <w:p>
      <w:pPr>
        <w:widowControl/>
        <w:spacing w:line="580" w:lineRule="exact"/>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2021年度单位决算编制的说明</w:t>
      </w:r>
    </w:p>
    <w:p>
      <w:pPr>
        <w:widowControl/>
        <w:jc w:val="center"/>
        <w:rPr>
          <w:rFonts w:hint="eastAsia" w:ascii="仿宋_GB2312" w:hAnsi="仿宋_GB2312" w:eastAsia="仿宋_GB2312" w:cs="仿宋_GB2312"/>
          <w:sz w:val="28"/>
          <w:szCs w:val="28"/>
        </w:rPr>
      </w:pPr>
    </w:p>
    <w:p>
      <w:pPr>
        <w:widowControl/>
        <w:jc w:val="center"/>
        <w:rPr>
          <w:rFonts w:hint="eastAsia" w:ascii="仿宋_GB2312" w:hAnsi="仿宋_GB2312" w:eastAsia="仿宋_GB2312" w:cs="仿宋_GB2312"/>
          <w:color w:val="000000"/>
          <w:sz w:val="44"/>
          <w:szCs w:val="44"/>
        </w:rPr>
      </w:pPr>
      <w:r>
        <w:rPr>
          <w:rFonts w:hint="eastAsia" w:ascii="仿宋_GB2312" w:hAnsi="仿宋_GB2312" w:eastAsia="仿宋_GB2312" w:cs="仿宋_GB2312"/>
          <w:color w:val="000000"/>
          <w:sz w:val="44"/>
          <w:szCs w:val="44"/>
        </w:rPr>
        <w:t>目 录</w:t>
      </w:r>
    </w:p>
    <w:p>
      <w:pPr>
        <w:pStyle w:val="10"/>
        <w:pageBreakBefore w:val="0"/>
        <w:kinsoku/>
        <w:wordWrap/>
        <w:overflowPunct/>
        <w:topLinePunct w:val="0"/>
        <w:bidi w:val="0"/>
        <w:spacing w:before="0" w:line="500" w:lineRule="exact"/>
        <w:ind w:right="0" w:rightChars="0" w:firstLine="643" w:firstLineChars="200"/>
        <w:jc w:val="center"/>
        <w:textAlignment w:val="auto"/>
        <w:rPr>
          <w:rFonts w:hint="eastAsia" w:ascii="仿宋_GB2312" w:hAnsi="仿宋_GB2312" w:eastAsia="仿宋_GB2312" w:cs="仿宋_GB2312"/>
          <w:i w:val="0"/>
          <w:color w:val="FF0000"/>
          <w:sz w:val="32"/>
          <w:lang w:val="en-US" w:eastAsia="zh-CN"/>
        </w:rPr>
      </w:pPr>
      <w:r>
        <w:rPr>
          <w:rFonts w:hint="eastAsia" w:ascii="仿宋_GB2312" w:hAnsi="仿宋_GB2312" w:eastAsia="仿宋_GB2312" w:cs="仿宋_GB2312"/>
          <w:i w:val="0"/>
          <w:color w:val="FF0000"/>
          <w:sz w:val="32"/>
        </w:rPr>
        <w:t>公开时间：</w:t>
      </w:r>
      <w:r>
        <w:rPr>
          <w:rFonts w:hint="eastAsia" w:ascii="仿宋_GB2312" w:hAnsi="仿宋_GB2312" w:eastAsia="仿宋_GB2312" w:cs="仿宋_GB2312"/>
          <w:i w:val="0"/>
          <w:color w:val="FF0000"/>
          <w:sz w:val="32"/>
          <w:lang w:val="en-US" w:eastAsia="zh-CN"/>
        </w:rPr>
        <w:t>2022</w:t>
      </w:r>
      <w:r>
        <w:rPr>
          <w:rFonts w:hint="eastAsia" w:ascii="仿宋_GB2312" w:hAnsi="仿宋_GB2312" w:eastAsia="仿宋_GB2312" w:cs="仿宋_GB2312"/>
          <w:i w:val="0"/>
          <w:color w:val="FF0000"/>
          <w:sz w:val="32"/>
        </w:rPr>
        <w:t>年</w:t>
      </w:r>
      <w:r>
        <w:rPr>
          <w:rFonts w:hint="eastAsia" w:ascii="仿宋_GB2312" w:hAnsi="仿宋_GB2312" w:eastAsia="仿宋_GB2312" w:cs="仿宋_GB2312"/>
          <w:i w:val="0"/>
          <w:color w:val="FF0000"/>
          <w:sz w:val="32"/>
          <w:lang w:val="en-US" w:eastAsia="zh-CN"/>
        </w:rPr>
        <w:t>10</w:t>
      </w:r>
      <w:r>
        <w:rPr>
          <w:rFonts w:hint="eastAsia" w:ascii="仿宋_GB2312" w:hAnsi="仿宋_GB2312" w:eastAsia="仿宋_GB2312" w:cs="仿宋_GB2312"/>
          <w:i w:val="0"/>
          <w:color w:val="FF0000"/>
          <w:sz w:val="32"/>
        </w:rPr>
        <w:t>月</w:t>
      </w:r>
      <w:r>
        <w:rPr>
          <w:rFonts w:hint="eastAsia" w:ascii="仿宋_GB2312" w:hAnsi="仿宋_GB2312" w:eastAsia="仿宋_GB2312" w:cs="仿宋_GB2312"/>
          <w:i w:val="0"/>
          <w:color w:val="FF0000"/>
          <w:sz w:val="32"/>
          <w:lang w:val="en-US" w:eastAsia="zh-CN"/>
        </w:rPr>
        <w:t>20</w:t>
      </w:r>
      <w:r>
        <w:rPr>
          <w:rFonts w:hint="eastAsia" w:ascii="仿宋_GB2312" w:hAnsi="仿宋_GB2312" w:eastAsia="仿宋_GB2312" w:cs="仿宋_GB2312"/>
          <w:i w:val="0"/>
          <w:color w:val="FF0000"/>
          <w:sz w:val="32"/>
        </w:rPr>
        <w:t>日</w:t>
      </w:r>
      <w:r>
        <w:rPr>
          <w:rFonts w:hint="eastAsia" w:ascii="仿宋_GB2312" w:hAnsi="仿宋_GB2312" w:eastAsia="仿宋_GB2312" w:cs="仿宋_GB2312"/>
          <w:i w:val="0"/>
          <w:color w:val="FF0000"/>
          <w:sz w:val="32"/>
          <w:lang w:val="en-US" w:eastAsia="zh-CN"/>
        </w:rPr>
        <w:t xml:space="preserve"> </w:t>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aps/>
          <w:sz w:val="32"/>
          <w:szCs w:val="32"/>
        </w:rPr>
        <w:fldChar w:fldCharType="begin"/>
      </w:r>
      <w:r>
        <w:rPr>
          <w:rFonts w:hint="eastAsia" w:ascii="仿宋_GB2312" w:hAnsi="仿宋_GB2312" w:eastAsia="仿宋_GB2312" w:cs="仿宋_GB2312"/>
          <w:b w:val="0"/>
          <w:bCs w:val="0"/>
          <w:i w:val="0"/>
          <w:iCs w:val="0"/>
          <w:caps/>
          <w:sz w:val="32"/>
          <w:szCs w:val="32"/>
        </w:rPr>
        <w:instrText xml:space="preserve"> TOC \o "1-2" \h \z \u </w:instrText>
      </w:r>
      <w:r>
        <w:rPr>
          <w:rFonts w:hint="eastAsia" w:ascii="仿宋_GB2312" w:hAnsi="仿宋_GB2312" w:eastAsia="仿宋_GB2312" w:cs="仿宋_GB2312"/>
          <w:b w:val="0"/>
          <w:bCs w:val="0"/>
          <w:i w:val="0"/>
          <w:iCs w:val="0"/>
          <w:caps/>
          <w:sz w:val="32"/>
          <w:szCs w:val="32"/>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"_Toc7175"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i w:val="0"/>
          <w:iCs w:val="0"/>
          <w:sz w:val="32"/>
          <w:szCs w:val="32"/>
        </w:rPr>
        <w:t>第一部分 单位概况</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_Toc7175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"_Toc3572"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一、职能简介</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_Toc3572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"_Toc32381"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二、2021年重点工作完成情况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_Toc32381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"_Toc18018"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i w:val="0"/>
          <w:iCs w:val="0"/>
          <w:sz w:val="32"/>
          <w:szCs w:val="32"/>
        </w:rPr>
        <w:t>第二部分 2021年度单位决算情况说明</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_Toc18018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"_Toc7398"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一、 收入支出决算总体情况说明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_Toc7398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"_Toc24241"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二、 收入决算情况说明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_Toc24241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"_Toc6526"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三、 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_Toc6526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"_Toc14334"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四、财政拨款收入支出决算总体情况说明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_Toc14334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"_Toc16755"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五、一般公共预算财政拨款支出决算情况说明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_Toc16755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"_Toc16675"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六、一般公共预算财政拨款基本支出决算情况说明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_Toc16675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"_Toc19737"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七、“三公”经费财政拨款支出决算情况说明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_Toc19737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"_Toc10901"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八、政府性基金预算支出决算情况说明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_Toc10901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"_Toc26293"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九、 国有资本经营预算支出决算情况说明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_Toc26293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"_Toc27271"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十、其他重要事项的情况说明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_Toc27271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12</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"_Toc21676"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i w:val="0"/>
          <w:iCs w:val="0"/>
          <w:sz w:val="32"/>
          <w:szCs w:val="32"/>
        </w:rPr>
        <w:t>第三部分 名词解释</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_Toc21676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13</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"_Toc6879"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i w:val="0"/>
          <w:iCs w:val="0"/>
          <w:sz w:val="32"/>
          <w:szCs w:val="32"/>
        </w:rPr>
        <w:t>第四部分 附件</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_Toc6879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16</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"_Toc18966"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_Toc18966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16</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"_Toc18418"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i w:val="0"/>
          <w:iCs w:val="0"/>
          <w:sz w:val="32"/>
          <w:szCs w:val="32"/>
        </w:rPr>
        <w:t>第五部分 附表</w:t>
      </w:r>
      <w:r>
        <w:rPr>
          <w:rFonts w:hint="eastAsia" w:ascii="仿宋_GB2312" w:hAnsi="仿宋_GB2312" w:eastAsia="仿宋_GB2312" w:cs="仿宋_GB2312"/>
          <w:b w:val="0"/>
          <w:bCs w:val="0"/>
          <w:i w:val="0"/>
          <w:iCs w:val="0"/>
          <w:sz w:val="32"/>
          <w:szCs w:val="32"/>
        </w:rPr>
        <w:tab/>
      </w:r>
      <w:r>
        <w:rPr>
          <w:rFonts w:hint="eastAsia" w:ascii="仿宋_GB2312" w:hAnsi="仿宋_GB2312" w:eastAsia="仿宋_GB2312" w:cs="仿宋_GB2312"/>
          <w:b w:val="0"/>
          <w:bCs w:val="0"/>
          <w:i w:val="0"/>
          <w:iCs w:val="0"/>
          <w:sz w:val="32"/>
          <w:szCs w:val="32"/>
        </w:rPr>
        <w:fldChar w:fldCharType="begin"/>
      </w:r>
      <w:r>
        <w:rPr>
          <w:rFonts w:hint="eastAsia" w:ascii="仿宋_GB2312" w:hAnsi="仿宋_GB2312" w:eastAsia="仿宋_GB2312" w:cs="仿宋_GB2312"/>
          <w:b w:val="0"/>
          <w:bCs w:val="0"/>
          <w:i w:val="0"/>
          <w:iCs w:val="0"/>
          <w:sz w:val="32"/>
          <w:szCs w:val="32"/>
        </w:rPr>
        <w:instrText xml:space="preserve"> PAGEREF _Toc18418 \h </w:instrText>
      </w:r>
      <w:r>
        <w:rPr>
          <w:rFonts w:hint="eastAsia" w:ascii="仿宋_GB2312" w:hAnsi="仿宋_GB2312" w:eastAsia="仿宋_GB2312" w:cs="仿宋_GB2312"/>
          <w:b w:val="0"/>
          <w:bCs w:val="0"/>
          <w:i w:val="0"/>
          <w:iCs w:val="0"/>
          <w:sz w:val="32"/>
          <w:szCs w:val="32"/>
        </w:rPr>
        <w:fldChar w:fldCharType="separate"/>
      </w:r>
      <w:r>
        <w:rPr>
          <w:rFonts w:hint="eastAsia" w:ascii="仿宋_GB2312" w:hAnsi="仿宋_GB2312" w:eastAsia="仿宋_GB2312" w:cs="仿宋_GB2312"/>
          <w:b w:val="0"/>
          <w:bCs w:val="0"/>
          <w:i w:val="0"/>
          <w:iCs w:val="0"/>
          <w:sz w:val="32"/>
          <w:szCs w:val="32"/>
        </w:rPr>
        <w:t>18</w:t>
      </w:r>
      <w:r>
        <w:rPr>
          <w:rFonts w:hint="eastAsia" w:ascii="仿宋_GB2312" w:hAnsi="仿宋_GB2312" w:eastAsia="仿宋_GB2312" w:cs="仿宋_GB2312"/>
          <w:b w:val="0"/>
          <w:bCs w:val="0"/>
          <w:i w:val="0"/>
          <w:iCs w:val="0"/>
          <w:sz w:val="32"/>
          <w:szCs w:val="32"/>
        </w:rPr>
        <w:fldChar w:fldCharType="end"/>
      </w:r>
      <w:r>
        <w:rPr>
          <w:rFonts w:hint="eastAsia" w:ascii="仿宋_GB2312" w:hAnsi="仿宋_GB2312" w:eastAsia="仿宋_GB2312" w:cs="仿宋_GB2312"/>
          <w:b w:val="0"/>
          <w:bCs w:val="0"/>
          <w:i w:val="0"/>
          <w:i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"_Toc14600"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一、收入支出决算总表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_Toc14600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"_Toc15925"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二、收入决算表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_Toc15925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"_Toc7187"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三、支出决算表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_Toc7187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"_Toc5686"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四、财政拨款收入支出决算总表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_Toc5686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"_Toc6343"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五、财政拨款支出决算明细表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_Toc6343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"_Toc31131"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六、一般公共预算财政拨款支出决算表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_Toc31131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"_Toc11064"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七、一般公共预算财政拨款支出决算明细表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_Toc11064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"_Toc12549"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八、一般公共预算财政拨款基本支出决算表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_Toc12549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"_Toc19168"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九、一般公共预算财政拨款项目支出决算表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_Toc19168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"_Toc18941"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十、一般公共预算财政拨款“三公”经费支出决算表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_Toc18941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"_Toc15180"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十一、政府性基金预算财政拨款收入支出决算表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_Toc15180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"_Toc23897"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十二、政府性基金预算财政拨款“三公”经费支出决算表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_Toc23897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"_Toc3960"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十三、国有资本经营预算财政拨款收入支出决算表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_Toc3960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11"/>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"_Toc441" </w:instrText>
      </w:r>
      <w:r>
        <w:rPr>
          <w:rFonts w:hint="eastAsia" w:ascii="仿宋_GB2312" w:hAnsi="仿宋_GB2312" w:eastAsia="仿宋_GB2312" w:cs="仿宋_GB2312"/>
        </w:rPr>
        <w:fldChar w:fldCharType="separate"/>
      </w:r>
      <w:r>
        <w:rPr>
          <w:rFonts w:hint="eastAsia" w:ascii="仿宋_GB2312" w:hAnsi="仿宋_GB2312" w:eastAsia="仿宋_GB2312" w:cs="仿宋_GB2312"/>
          <w:b w:val="0"/>
          <w:bCs w:val="0"/>
          <w:sz w:val="32"/>
          <w:szCs w:val="32"/>
        </w:rPr>
        <w:t>十四、国有资本经营预算财政拨款支出决算表</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_Toc441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ind w:firstLine="2400" w:firstLineChars="750"/>
        <w:rPr>
          <w:rFonts w:hint="eastAsia" w:ascii="仿宋_GB2312" w:hAnsi="仿宋_GB2312" w:eastAsia="仿宋_GB2312" w:cs="仿宋_GB2312"/>
          <w:color w:val="FF0000"/>
          <w:szCs w:val="32"/>
        </w:rPr>
      </w:pPr>
      <w:r>
        <w:rPr>
          <w:rFonts w:hint="eastAsia" w:ascii="仿宋_GB2312" w:hAnsi="仿宋_GB2312" w:eastAsia="仿宋_GB2312" w:cs="仿宋_GB2312"/>
          <w:caps/>
          <w:szCs w:val="32"/>
        </w:rPr>
        <w:fldChar w:fldCharType="end"/>
      </w:r>
    </w:p>
    <w:p>
      <w:pPr>
        <w:rPr>
          <w:rFonts w:hint="eastAsia" w:ascii="仿宋_GB2312" w:hAnsi="仿宋_GB2312" w:eastAsia="仿宋_GB2312" w:cs="仿宋_GB2312"/>
        </w:rPr>
      </w:pPr>
      <w:r>
        <w:rPr>
          <w:rFonts w:hint="eastAsia" w:ascii="仿宋_GB2312" w:hAnsi="仿宋_GB2312" w:eastAsia="仿宋_GB2312" w:cs="仿宋_GB2312"/>
        </w:rPr>
        <w:br w:type="page"/>
      </w:r>
    </w:p>
    <w:p>
      <w:pPr>
        <w:pStyle w:val="5"/>
        <w:jc w:val="center"/>
        <w:rPr>
          <w:rFonts w:hint="eastAsia" w:ascii="仿宋_GB2312" w:hAnsi="仿宋_GB2312" w:eastAsia="仿宋_GB2312" w:cs="仿宋_GB2312"/>
          <w:b/>
          <w:bCs w:val="0"/>
          <w:color w:val="000000"/>
          <w:sz w:val="44"/>
          <w:szCs w:val="44"/>
          <w:lang w:eastAsia="zh-CN"/>
        </w:rPr>
      </w:pPr>
      <w:bookmarkStart w:id="0" w:name="_Toc7175"/>
      <w:r>
        <w:rPr>
          <w:rFonts w:hint="eastAsia" w:ascii="仿宋_GB2312" w:hAnsi="仿宋_GB2312" w:eastAsia="仿宋_GB2312" w:cs="仿宋_GB2312"/>
          <w:b/>
          <w:bCs w:val="0"/>
          <w:sz w:val="44"/>
          <w:szCs w:val="44"/>
        </w:rPr>
        <w:t xml:space="preserve">第一部分 </w:t>
      </w:r>
      <w:r>
        <w:rPr>
          <w:rStyle w:val="17"/>
          <w:rFonts w:hint="eastAsia" w:ascii="仿宋_GB2312" w:hAnsi="仿宋_GB2312" w:eastAsia="仿宋_GB2312" w:cs="仿宋_GB2312"/>
          <w:b/>
          <w:bCs w:val="0"/>
          <w:sz w:val="44"/>
          <w:szCs w:val="44"/>
        </w:rPr>
        <w:t>单位概况</w:t>
      </w:r>
      <w:bookmarkEnd w:id="0"/>
    </w:p>
    <w:p>
      <w:pPr>
        <w:pStyle w:val="6"/>
        <w:rPr>
          <w:rStyle w:val="21"/>
          <w:rFonts w:hint="eastAsia" w:ascii="仿宋_GB2312" w:hAnsi="仿宋_GB2312" w:eastAsia="仿宋_GB2312" w:cs="仿宋_GB2312"/>
          <w:b w:val="0"/>
          <w:bCs w:val="0"/>
        </w:rPr>
      </w:pPr>
      <w:bookmarkStart w:id="1" w:name="_Toc3572"/>
      <w:bookmarkStart w:id="2" w:name="_Toc15377197"/>
      <w:bookmarkStart w:id="3" w:name="_Toc15396600"/>
      <w:r>
        <w:rPr>
          <w:rStyle w:val="21"/>
          <w:rFonts w:hint="eastAsia" w:ascii="仿宋_GB2312" w:hAnsi="仿宋_GB2312" w:eastAsia="仿宋_GB2312" w:cs="仿宋_GB2312"/>
          <w:b w:val="0"/>
          <w:bCs w:val="0"/>
        </w:rPr>
        <w:t>一、职能简介</w:t>
      </w:r>
      <w:bookmarkEnd w:id="1"/>
    </w:p>
    <w:p>
      <w:pPr>
        <w:pStyle w:val="7"/>
        <w:adjustRightInd w:val="0"/>
        <w:snapToGrid w:val="0"/>
        <w:spacing w:line="580" w:lineRule="exact"/>
        <w:ind w:left="-304" w:leftChars="-95" w:firstLine="617" w:firstLineChars="193"/>
        <w:rPr>
          <w:rFonts w:hint="eastAsia" w:ascii="仿宋_GB2312" w:hAnsi="仿宋_GB2312" w:eastAsia="仿宋_GB2312" w:cs="仿宋_GB2312"/>
          <w:sz w:val="32"/>
          <w:szCs w:val="32"/>
          <w:lang w:eastAsia="zh-CN"/>
        </w:rPr>
      </w:pPr>
      <w:bookmarkStart w:id="4" w:name="_Toc32381"/>
      <w:r>
        <w:rPr>
          <w:rFonts w:hint="eastAsia" w:ascii="仿宋_GB2312" w:hAnsi="仿宋_GB2312" w:eastAsia="仿宋_GB2312" w:cs="仿宋_GB2312"/>
          <w:sz w:val="32"/>
          <w:szCs w:val="32"/>
          <w:lang w:eastAsia="zh-CN"/>
        </w:rPr>
        <w:t>自贡市纪委监委廉政教育中心（自贡市监委留置中心）承担党风廉政建设和反腐败教育服务保障工作；承担干部教育培训基地的管理服务工作；组织实施对象收置、日常管理、安全保卫。</w:t>
      </w:r>
    </w:p>
    <w:p>
      <w:pPr>
        <w:pStyle w:val="6"/>
        <w:rPr>
          <w:rFonts w:hint="eastAsia" w:ascii="仿宋_GB2312" w:hAnsi="仿宋_GB2312" w:eastAsia="仿宋_GB2312" w:cs="仿宋_GB2312"/>
          <w:b w:val="0"/>
        </w:rPr>
      </w:pPr>
      <w:r>
        <w:rPr>
          <w:rFonts w:hint="eastAsia" w:ascii="仿宋_GB2312" w:hAnsi="仿宋_GB2312" w:eastAsia="仿宋_GB2312" w:cs="仿宋_GB2312"/>
          <w:b w:val="0"/>
        </w:rPr>
        <w:t>二、2021年重点工作</w:t>
      </w:r>
      <w:bookmarkEnd w:id="2"/>
      <w:bookmarkEnd w:id="3"/>
      <w:r>
        <w:rPr>
          <w:rFonts w:hint="eastAsia" w:ascii="仿宋_GB2312" w:hAnsi="仿宋_GB2312" w:eastAsia="仿宋_GB2312" w:cs="仿宋_GB2312"/>
          <w:b w:val="0"/>
        </w:rPr>
        <w:t>完成情况</w:t>
      </w:r>
      <w:bookmarkEnd w:id="4"/>
    </w:p>
    <w:p>
      <w:pPr>
        <w:spacing w:line="240" w:lineRule="auto"/>
        <w:ind w:firstLine="640" w:firstLineChars="200"/>
        <w:jc w:val="left"/>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2021年中心的工作主要分为以下几个部分，一是留置中心的日常管理维护及综合后勤保障；二是留置场所新冠疫情防控工作；三是廉政教育展厅的参观接待及日常管理维护；四是市纪委各下属事业单位（含电教信息中心）人员社保、公积金及税务申报办理等其他相关事务性工作。</w:t>
      </w:r>
    </w:p>
    <w:p>
      <w:pPr>
        <w:numPr>
          <w:ilvl w:val="0"/>
          <w:numId w:val="1"/>
        </w:numPr>
        <w:spacing w:line="240" w:lineRule="auto"/>
        <w:ind w:left="640" w:leftChars="0" w:firstLineChars="0"/>
        <w:rPr>
          <w:rFonts w:hint="eastAsia" w:ascii="仿宋_GB2312" w:hAnsi="仿宋_GB2312" w:eastAsia="仿宋_GB2312" w:cs="仿宋_GB2312"/>
          <w:b/>
          <w:bCs w:val="0"/>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廉政教育中心的日常管理与综合保障</w:t>
      </w:r>
    </w:p>
    <w:p>
      <w:pPr>
        <w:ind w:firstLine="640"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持续完善服务保障功能，为各专案组规范、便捷、高效的管理服务。</w:t>
      </w:r>
    </w:p>
    <w:p>
      <w:pPr>
        <w:pStyle w:val="5"/>
        <w:keepNext w:val="0"/>
        <w:keepLines w:val="0"/>
        <w:widowControl/>
        <w:suppressLineNumbers w:val="0"/>
        <w:shd w:val="clear" w:fill="FFFFFF"/>
        <w:spacing w:before="0" w:beforeAutospacing="0" w:after="150" w:afterAutospacing="0" w:line="240" w:lineRule="auto"/>
        <w:ind w:left="0" w:right="0" w:firstLine="643"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一是提高餐饮品质。</w:t>
      </w:r>
      <w:r>
        <w:rPr>
          <w:rFonts w:hint="eastAsia" w:ascii="仿宋_GB2312" w:hAnsi="仿宋_GB2312" w:eastAsia="仿宋_GB2312" w:cs="仿宋_GB2312"/>
          <w:b w:val="0"/>
          <w:bCs/>
          <w:kern w:val="0"/>
          <w:sz w:val="32"/>
          <w:szCs w:val="32"/>
          <w:lang w:val="en-US" w:eastAsia="zh-CN" w:bidi="ar-SA"/>
        </w:rPr>
        <w:t>积极改善菜品品质，增加早餐品种，为在基地工作的职工提供更好的餐饮服务，2021年为省、市、区县及市外共32个专案组做好在基地期间的后勤保障工作。从食材源头把关，对食品加工全流程规范操作进行监督，每餐所有食品48小时留样，坚持厨房及食堂每日三次环境消毒，确保食品安全及就餐环境的干净卫生。保障留置对象及谈话对象用餐安全，对因身体原因有特殊用餐要求的对象，严格按照专案组要求单独备餐，做好留置安全风险事项对象用餐情况的每日零报告。</w:t>
      </w:r>
    </w:p>
    <w:p>
      <w:pPr>
        <w:pStyle w:val="5"/>
        <w:keepNext w:val="0"/>
        <w:keepLines w:val="0"/>
        <w:widowControl/>
        <w:suppressLineNumbers w:val="0"/>
        <w:shd w:val="clear" w:fill="FFFFFF"/>
        <w:spacing w:before="0" w:beforeAutospacing="0" w:after="150" w:afterAutospacing="0" w:line="240" w:lineRule="auto"/>
        <w:ind w:left="0" w:right="0" w:firstLine="643"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二是进一步提高了硬件保障能力。</w:t>
      </w:r>
      <w:r>
        <w:rPr>
          <w:rFonts w:hint="eastAsia" w:ascii="仿宋_GB2312" w:hAnsi="仿宋_GB2312" w:eastAsia="仿宋_GB2312" w:cs="仿宋_GB2312"/>
          <w:b w:val="0"/>
          <w:bCs/>
          <w:kern w:val="0"/>
          <w:sz w:val="32"/>
          <w:szCs w:val="32"/>
          <w:lang w:val="en-US" w:eastAsia="zh-CN" w:bidi="ar-SA"/>
        </w:rPr>
        <w:t xml:space="preserve">为切实保障在点办案人员及看护人员住宿，根据各专案组办案人员及看护人员情况合理安排住宿房间。2020年底已完成改扩建，新增办公室13间、会议室2间、住宿房间21间，现有住宿保障共311张床位，硬件保障能力进一步提高。 </w:t>
      </w:r>
    </w:p>
    <w:p>
      <w:pPr>
        <w:pStyle w:val="5"/>
        <w:keepNext w:val="0"/>
        <w:keepLines w:val="0"/>
        <w:widowControl/>
        <w:suppressLineNumbers w:val="0"/>
        <w:shd w:val="clear" w:fill="FFFFFF"/>
        <w:spacing w:before="0" w:beforeAutospacing="0" w:after="150" w:afterAutospacing="0" w:line="240" w:lineRule="auto"/>
        <w:ind w:left="0" w:right="0" w:firstLine="643"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三是强化电力及硬件保障。</w:t>
      </w:r>
      <w:r>
        <w:rPr>
          <w:rFonts w:hint="eastAsia" w:ascii="仿宋_GB2312" w:hAnsi="仿宋_GB2312" w:eastAsia="仿宋_GB2312" w:cs="仿宋_GB2312"/>
          <w:b w:val="0"/>
          <w:bCs/>
          <w:kern w:val="0"/>
          <w:sz w:val="32"/>
          <w:szCs w:val="32"/>
          <w:lang w:val="en-US" w:eastAsia="zh-CN" w:bidi="ar-SA"/>
        </w:rPr>
        <w:t>中心与电力部门常年保持密切联系与协调，力求保障中心的正常供电，协调沿滩区供电局，完成了中心低压配电柜改造工程，实现当主供电源及备用电源同时失电时，能使用发电机保障中心重要负荷用电。</w:t>
      </w:r>
    </w:p>
    <w:p>
      <w:pPr>
        <w:ind w:firstLine="643"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四是做好其他保障工作。</w:t>
      </w:r>
      <w:r>
        <w:rPr>
          <w:rFonts w:hint="eastAsia" w:ascii="仿宋_GB2312" w:hAnsi="仿宋_GB2312" w:eastAsia="仿宋_GB2312" w:cs="仿宋_GB2312"/>
          <w:b w:val="0"/>
          <w:bCs/>
          <w:kern w:val="0"/>
          <w:sz w:val="32"/>
          <w:szCs w:val="32"/>
          <w:lang w:val="en-US" w:eastAsia="zh-CN" w:bidi="ar-SA"/>
        </w:rPr>
        <w:t>积极配合市纪委组织部完成了重阳节退休干部活动，市纪委机关在中心召开的会议会务工作及接待工作。</w:t>
      </w:r>
    </w:p>
    <w:p>
      <w:pPr>
        <w:ind w:firstLine="640"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绿化提档升级，营造美丽工作环境。中心绿化养护工作由市园林局绿化大队负责园林绿化的日常养护，新栽银杏树、三角梅、红花木棉、垂丝海棠、罗汉松盘扎桩景等室外植物，中心的工作生活环境进一步美化。</w:t>
      </w:r>
    </w:p>
    <w:p>
      <w:pPr>
        <w:numPr>
          <w:ilvl w:val="0"/>
          <w:numId w:val="1"/>
        </w:numPr>
        <w:spacing w:line="240" w:lineRule="auto"/>
        <w:ind w:left="640" w:leftChars="0" w:firstLine="0" w:firstLineChars="0"/>
        <w:rPr>
          <w:rFonts w:hint="eastAsia" w:ascii="仿宋_GB2312" w:hAnsi="仿宋_GB2312" w:eastAsia="仿宋_GB2312" w:cs="仿宋_GB2312"/>
          <w:b/>
          <w:bCs w:val="0"/>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压实责任，做好留置场所新冠疫情防控工作</w:t>
      </w:r>
    </w:p>
    <w:p>
      <w:pPr>
        <w:pStyle w:val="12"/>
        <w:keepNext w:val="0"/>
        <w:keepLines w:val="0"/>
        <w:pageBreakBefore w:val="0"/>
        <w:widowControl/>
        <w:shd w:val="clear" w:color="auto" w:fill="FFFFFF"/>
        <w:kinsoku/>
        <w:wordWrap/>
        <w:overflowPunct/>
        <w:topLinePunct w:val="0"/>
        <w:autoSpaceDE/>
        <w:autoSpaceDN/>
        <w:bidi w:val="0"/>
        <w:adjustRightInd/>
        <w:snapToGrid/>
        <w:spacing w:before="150" w:beforeAutospacing="0" w:afterAutospacing="0" w:line="360" w:lineRule="auto"/>
        <w:ind w:firstLine="640" w:firstLineChars="2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做好新冠疫情防控工作，坚决守住留置场所不发生疫情的底线，努力把防控措施贯穿到日常运转的每一个环节，把安全责任落实到岗、细化到人。</w:t>
      </w:r>
    </w:p>
    <w:p>
      <w:pPr>
        <w:pStyle w:val="12"/>
        <w:keepNext w:val="0"/>
        <w:keepLines w:val="0"/>
        <w:pageBreakBefore w:val="0"/>
        <w:widowControl/>
        <w:shd w:val="clear" w:color="auto" w:fill="FFFFFF"/>
        <w:kinsoku/>
        <w:wordWrap/>
        <w:overflowPunct/>
        <w:topLinePunct w:val="0"/>
        <w:autoSpaceDE/>
        <w:autoSpaceDN/>
        <w:bidi w:val="0"/>
        <w:adjustRightInd/>
        <w:snapToGrid/>
        <w:spacing w:before="150" w:beforeAutospacing="0" w:afterAutospacing="0" w:line="360" w:lineRule="auto"/>
        <w:ind w:firstLine="640" w:firstLineChars="2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严格落实中、省、市纪委关于留置场所疫情防控工作的部署，细化疫情防控措施，严格人员进出管理，并对在点的所有人员进行动态登记排查；食堂餐桌安装隔板，实行人员用餐物理隔离；对场所开展每日三次地毯式消毒，严防细菌病毒滋生。</w:t>
      </w:r>
    </w:p>
    <w:p>
      <w:pPr>
        <w:numPr>
          <w:ilvl w:val="0"/>
          <w:numId w:val="0"/>
        </w:numPr>
        <w:spacing w:line="240" w:lineRule="auto"/>
        <w:ind w:leftChars="0" w:firstLine="643" w:firstLineChars="200"/>
        <w:rPr>
          <w:rFonts w:hint="eastAsia" w:ascii="仿宋_GB2312" w:hAnsi="仿宋_GB2312" w:eastAsia="仿宋_GB2312" w:cs="仿宋_GB2312"/>
          <w:b/>
          <w:bCs w:val="0"/>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（三）廉政文化教育基地的管理与使用</w:t>
      </w:r>
    </w:p>
    <w:p>
      <w:pPr>
        <w:numPr>
          <w:ilvl w:val="0"/>
          <w:numId w:val="0"/>
        </w:numPr>
        <w:spacing w:line="240" w:lineRule="auto"/>
        <w:ind w:firstLine="640" w:firstLineChars="200"/>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 xml:space="preserve">做好自贡市廉政文化教育基地的日常管理与参观接待工作，提供展厅参观、主题党日活动等党员干部学廉思廉倡廉护廉教育平台,以加强党员干部廉政教育和作风建设，提高拒腐防变的能力为目标，充分发挥廉政教育基地在干部教育中的主阵地作用。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因为新冠疫情原因，2021年廉政教育展厅断续开放，全年共接待55批次3280人次参观学习。另外，接待了西藏自治区纪委、拉萨市纪委、泸州市纪委等市外单位的参观考察。</w:t>
      </w:r>
    </w:p>
    <w:p>
      <w:pPr>
        <w:numPr>
          <w:ilvl w:val="0"/>
          <w:numId w:val="0"/>
        </w:numPr>
        <w:spacing w:line="240" w:lineRule="auto"/>
        <w:ind w:leftChars="0"/>
        <w:rPr>
          <w:rFonts w:hint="eastAsia" w:ascii="仿宋_GB2312" w:hAnsi="仿宋_GB2312" w:eastAsia="仿宋_GB2312" w:cs="仿宋_GB2312"/>
          <w:b/>
          <w:bCs w:val="0"/>
          <w:kern w:val="0"/>
          <w:sz w:val="32"/>
          <w:szCs w:val="32"/>
          <w:lang w:val="en-US" w:eastAsia="zh-CN" w:bidi="ar-SA"/>
        </w:rPr>
      </w:pPr>
      <w:r>
        <w:rPr>
          <w:rFonts w:hint="eastAsia" w:ascii="仿宋_GB2312" w:hAnsi="仿宋_GB2312" w:eastAsia="仿宋_GB2312" w:cs="仿宋_GB2312"/>
          <w:b/>
          <w:bCs w:val="0"/>
          <w:kern w:val="0"/>
          <w:sz w:val="32"/>
          <w:szCs w:val="32"/>
          <w:lang w:val="en-US" w:eastAsia="zh-CN" w:bidi="ar-SA"/>
        </w:rPr>
        <w:t>（四）其他工作</w:t>
      </w:r>
    </w:p>
    <w:p>
      <w:pPr>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b w:val="0"/>
          <w:bCs/>
          <w:kern w:val="0"/>
          <w:sz w:val="32"/>
          <w:szCs w:val="32"/>
          <w:lang w:val="en-US" w:eastAsia="zh-CN" w:bidi="ar-SA"/>
        </w:rPr>
        <w:t>做好机关所有事业人员社保、医保、公积金的申报、上报、缴费及事业人员个人所得</w:t>
      </w:r>
      <w:r>
        <w:rPr>
          <w:rFonts w:hint="eastAsia" w:ascii="仿宋_GB2312" w:hAnsi="仿宋_GB2312" w:cs="仿宋_GB2312"/>
          <w:b w:val="0"/>
          <w:bCs/>
          <w:kern w:val="0"/>
          <w:sz w:val="32"/>
          <w:szCs w:val="32"/>
          <w:lang w:val="en-US" w:eastAsia="zh-CN" w:bidi="ar-SA"/>
        </w:rPr>
        <w:t>税</w:t>
      </w:r>
      <w:r>
        <w:rPr>
          <w:rFonts w:hint="eastAsia" w:ascii="仿宋_GB2312" w:hAnsi="仿宋_GB2312" w:eastAsia="仿宋_GB2312" w:cs="仿宋_GB2312"/>
          <w:b w:val="0"/>
          <w:bCs/>
          <w:kern w:val="0"/>
          <w:sz w:val="32"/>
          <w:szCs w:val="32"/>
          <w:lang w:val="en-US" w:eastAsia="zh-CN" w:bidi="ar-SA"/>
        </w:rPr>
        <w:t>的申报工作，及时为新调动人员办理相关手续；做好事业人员个人所得税的申报工作。根据人员变动信息，及时填报各类参保人员增减变动情况表，办理变更登记、账户衔接、账户转移等手续。2021年为4名新调入的同事办理五险一金的增加手续，确保新调入同事的社保和公积金及时缴纳；按照国家政策规定，及时调整所有事业单位人员的社会保险基数。</w:t>
      </w:r>
      <w:bookmarkStart w:id="5" w:name="_Toc15377204"/>
      <w:bookmarkStart w:id="6" w:name="_Toc15396602"/>
    </w:p>
    <w:p>
      <w:pPr>
        <w:pStyle w:val="5"/>
        <w:ind w:right="440"/>
        <w:jc w:val="right"/>
        <w:rPr>
          <w:rFonts w:hint="eastAsia" w:ascii="仿宋_GB2312" w:hAnsi="仿宋_GB2312" w:eastAsia="仿宋_GB2312" w:cs="仿宋_GB2312"/>
          <w:sz w:val="44"/>
          <w:szCs w:val="44"/>
        </w:rPr>
      </w:pPr>
      <w:bookmarkStart w:id="7" w:name="_Toc18018"/>
      <w:r>
        <w:rPr>
          <w:rFonts w:hint="eastAsia" w:ascii="仿宋_GB2312" w:hAnsi="仿宋_GB2312" w:eastAsia="仿宋_GB2312" w:cs="仿宋_GB2312"/>
          <w:b w:val="0"/>
          <w:color w:val="000000"/>
          <w:sz w:val="44"/>
          <w:szCs w:val="44"/>
        </w:rPr>
        <w:t>第二部分</w:t>
      </w:r>
      <w:r>
        <w:rPr>
          <w:rFonts w:hint="eastAsia" w:ascii="仿宋_GB2312" w:hAnsi="仿宋_GB2312" w:eastAsia="仿宋_GB2312" w:cs="仿宋_GB2312"/>
          <w:color w:val="000000"/>
          <w:sz w:val="44"/>
          <w:szCs w:val="44"/>
        </w:rPr>
        <w:t xml:space="preserve"> </w:t>
      </w:r>
      <w:r>
        <w:rPr>
          <w:rStyle w:val="17"/>
          <w:rFonts w:hint="eastAsia" w:ascii="仿宋_GB2312" w:hAnsi="仿宋_GB2312" w:eastAsia="仿宋_GB2312" w:cs="仿宋_GB2312"/>
          <w:b w:val="0"/>
          <w:bCs w:val="0"/>
          <w:sz w:val="44"/>
          <w:szCs w:val="44"/>
        </w:rPr>
        <w:t>2021年度单位决算情况说明</w:t>
      </w:r>
      <w:bookmarkEnd w:id="5"/>
      <w:bookmarkEnd w:id="6"/>
      <w:bookmarkEnd w:id="7"/>
    </w:p>
    <w:p>
      <w:pPr>
        <w:pStyle w:val="19"/>
        <w:numPr>
          <w:ilvl w:val="0"/>
          <w:numId w:val="2"/>
        </w:numPr>
        <w:spacing w:line="600" w:lineRule="exact"/>
        <w:ind w:firstLineChars="0"/>
        <w:outlineLvl w:val="1"/>
        <w:rPr>
          <w:rStyle w:val="18"/>
          <w:rFonts w:hint="eastAsia" w:ascii="仿宋_GB2312" w:hAnsi="仿宋_GB2312" w:eastAsia="仿宋_GB2312" w:cs="仿宋_GB2312"/>
          <w:b w:val="0"/>
        </w:rPr>
      </w:pPr>
      <w:bookmarkStart w:id="8" w:name="_Toc7398"/>
      <w:bookmarkStart w:id="9" w:name="_Toc15396603"/>
      <w:bookmarkStart w:id="10" w:name="_Toc15377205"/>
      <w:r>
        <w:rPr>
          <w:rFonts w:hint="eastAsia" w:ascii="仿宋_GB2312" w:hAnsi="仿宋_GB2312" w:eastAsia="仿宋_GB2312" w:cs="仿宋_GB2312"/>
          <w:color w:val="000000"/>
          <w:szCs w:val="32"/>
        </w:rPr>
        <w:t>收</w:t>
      </w:r>
      <w:r>
        <w:rPr>
          <w:rStyle w:val="18"/>
          <w:rFonts w:hint="eastAsia" w:ascii="仿宋_GB2312" w:hAnsi="仿宋_GB2312" w:eastAsia="仿宋_GB2312" w:cs="仿宋_GB2312"/>
          <w:b w:val="0"/>
        </w:rPr>
        <w:t>入支出决算总体情况说明</w:t>
      </w:r>
      <w:bookmarkEnd w:id="8"/>
      <w:bookmarkEnd w:id="9"/>
      <w:bookmarkEnd w:id="10"/>
    </w:p>
    <w:p>
      <w:pPr>
        <w:spacing w:line="600" w:lineRule="exact"/>
        <w:ind w:firstLine="640" w:firstLineChars="200"/>
        <w:rPr>
          <w:rFonts w:hint="eastAsia" w:ascii="仿宋_GB2312" w:hAnsi="仿宋_GB2312" w:eastAsia="仿宋_GB2312" w:cs="仿宋_GB2312"/>
          <w:color w:val="000000"/>
          <w:szCs w:val="32"/>
          <w:lang w:eastAsia="zh-CN"/>
        </w:rPr>
      </w:pPr>
      <w:r>
        <w:rPr>
          <w:rFonts w:hint="eastAsia" w:ascii="仿宋_GB2312" w:hAnsi="仿宋_GB2312" w:eastAsia="仿宋_GB2312" w:cs="仿宋_GB2312"/>
          <w:color w:val="000000"/>
          <w:szCs w:val="32"/>
        </w:rPr>
        <w:t>2021年度收、支总计</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万元。与2020年相比，收、支总计各减少</w:t>
      </w:r>
      <w:r>
        <w:rPr>
          <w:rFonts w:hint="eastAsia" w:ascii="仿宋_GB2312" w:hAnsi="仿宋_GB2312" w:eastAsia="仿宋_GB2312" w:cs="仿宋_GB2312"/>
          <w:color w:val="000000"/>
          <w:szCs w:val="32"/>
          <w:lang w:val="en-US" w:eastAsia="zh-CN"/>
        </w:rPr>
        <w:t>66.5</w:t>
      </w:r>
      <w:r>
        <w:rPr>
          <w:rFonts w:hint="eastAsia" w:ascii="仿宋_GB2312" w:hAnsi="仿宋_GB2312" w:eastAsia="仿宋_GB2312" w:cs="仿宋_GB2312"/>
          <w:color w:val="000000"/>
          <w:szCs w:val="32"/>
        </w:rPr>
        <w:t>万元，下降</w:t>
      </w:r>
      <w:r>
        <w:rPr>
          <w:rFonts w:hint="eastAsia" w:ascii="仿宋_GB2312" w:hAnsi="仿宋_GB2312" w:eastAsia="仿宋_GB2312" w:cs="仿宋_GB2312"/>
          <w:color w:val="000000"/>
          <w:szCs w:val="32"/>
          <w:lang w:val="en-US" w:eastAsia="zh-CN"/>
        </w:rPr>
        <w:t>13.06</w:t>
      </w:r>
      <w:r>
        <w:rPr>
          <w:rFonts w:hint="eastAsia" w:ascii="仿宋_GB2312" w:hAnsi="仿宋_GB2312" w:eastAsia="仿宋_GB2312" w:cs="仿宋_GB2312"/>
          <w:color w:val="000000"/>
          <w:szCs w:val="32"/>
        </w:rPr>
        <w:t>%。主要变动原因是</w:t>
      </w:r>
      <w:r>
        <w:rPr>
          <w:rFonts w:hint="eastAsia" w:ascii="仿宋_GB2312" w:hAnsi="仿宋_GB2312" w:eastAsia="仿宋_GB2312" w:cs="仿宋_GB2312"/>
          <w:color w:val="000000"/>
          <w:szCs w:val="32"/>
          <w:lang w:val="en-US" w:eastAsia="zh-CN"/>
        </w:rPr>
        <w:t>2020年度</w:t>
      </w:r>
      <w:r>
        <w:rPr>
          <w:rFonts w:hint="eastAsia" w:ascii="仿宋_GB2312" w:hAnsi="仿宋_GB2312" w:eastAsia="仿宋_GB2312" w:cs="仿宋_GB2312"/>
          <w:color w:val="000000"/>
          <w:szCs w:val="32"/>
        </w:rPr>
        <w:t>项目支出</w:t>
      </w:r>
      <w:r>
        <w:rPr>
          <w:rFonts w:hint="eastAsia" w:ascii="仿宋_GB2312" w:hAnsi="仿宋_GB2312" w:eastAsia="仿宋_GB2312" w:cs="仿宋_GB2312"/>
          <w:color w:val="000000"/>
          <w:szCs w:val="32"/>
          <w:lang w:eastAsia="zh-CN"/>
        </w:rPr>
        <w:t>有留置中心改扩建</w:t>
      </w:r>
      <w:r>
        <w:rPr>
          <w:rFonts w:hint="eastAsia" w:ascii="仿宋_GB2312" w:hAnsi="仿宋_GB2312" w:eastAsia="仿宋_GB2312" w:cs="仿宋_GB2312"/>
          <w:color w:val="000000"/>
          <w:szCs w:val="32"/>
        </w:rPr>
        <w:t>工程款支出</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lang w:val="en-US" w:eastAsia="zh-CN"/>
        </w:rPr>
        <w:t>本年度无</w:t>
      </w:r>
      <w:r>
        <w:rPr>
          <w:rFonts w:hint="eastAsia" w:ascii="仿宋_GB2312" w:hAnsi="仿宋_GB2312" w:eastAsia="仿宋_GB2312" w:cs="仿宋_GB2312"/>
          <w:color w:val="000000"/>
          <w:szCs w:val="32"/>
          <w:lang w:eastAsia="zh-CN"/>
        </w:rPr>
        <w:t>。</w:t>
      </w:r>
    </w:p>
    <w:p>
      <w:pPr>
        <w:spacing w:line="60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color w:val="000000"/>
          <w:szCs w:val="32"/>
        </w:rPr>
        <w:t>（图1：收、支决算总计变动情况图）（柱状图）</w:t>
      </w:r>
    </w:p>
    <w:p>
      <w:pPr>
        <w:pStyle w:val="7"/>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eastAsia="zh-CN"/>
        </w:rPr>
        <w:drawing>
          <wp:inline distT="0" distB="0" distL="114300" distR="114300">
            <wp:extent cx="3666490" cy="2066925"/>
            <wp:effectExtent l="4445" t="5080" r="5715" b="444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jc w:val="left"/>
        <w:rPr>
          <w:rFonts w:hint="eastAsia" w:ascii="仿宋_GB2312" w:hAnsi="仿宋_GB2312" w:eastAsia="仿宋_GB2312" w:cs="仿宋_GB2312"/>
          <w:color w:val="000000"/>
          <w:szCs w:val="32"/>
        </w:rPr>
      </w:pPr>
    </w:p>
    <w:p>
      <w:pPr>
        <w:pStyle w:val="19"/>
        <w:numPr>
          <w:ilvl w:val="0"/>
          <w:numId w:val="2"/>
        </w:numPr>
        <w:spacing w:line="600" w:lineRule="exact"/>
        <w:ind w:firstLineChars="0"/>
        <w:outlineLvl w:val="1"/>
        <w:rPr>
          <w:rStyle w:val="18"/>
          <w:rFonts w:hint="eastAsia" w:ascii="仿宋_GB2312" w:hAnsi="仿宋_GB2312" w:eastAsia="仿宋_GB2312" w:cs="仿宋_GB2312"/>
          <w:b w:val="0"/>
        </w:rPr>
      </w:pPr>
      <w:bookmarkStart w:id="11" w:name="_Toc15396604"/>
      <w:bookmarkStart w:id="12" w:name="_Toc24241"/>
      <w:bookmarkStart w:id="13" w:name="_Toc15377206"/>
      <w:r>
        <w:rPr>
          <w:rFonts w:hint="eastAsia" w:ascii="仿宋_GB2312" w:hAnsi="仿宋_GB2312" w:eastAsia="仿宋_GB2312" w:cs="仿宋_GB2312"/>
          <w:color w:val="000000"/>
          <w:szCs w:val="32"/>
        </w:rPr>
        <w:t>收</w:t>
      </w:r>
      <w:r>
        <w:rPr>
          <w:rStyle w:val="18"/>
          <w:rFonts w:hint="eastAsia" w:ascii="仿宋_GB2312" w:hAnsi="仿宋_GB2312" w:eastAsia="仿宋_GB2312" w:cs="仿宋_GB2312"/>
          <w:b w:val="0"/>
        </w:rPr>
        <w:t>入决算情况说明</w:t>
      </w:r>
      <w:bookmarkEnd w:id="11"/>
      <w:bookmarkEnd w:id="12"/>
      <w:bookmarkEnd w:id="13"/>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2021年本年收入合计</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万元，其中：一般公共预算财政拨款收入</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100</w:t>
      </w:r>
      <w:r>
        <w:rPr>
          <w:rFonts w:hint="eastAsia" w:ascii="仿宋_GB2312" w:hAnsi="仿宋_GB2312" w:eastAsia="仿宋_GB2312" w:cs="仿宋_GB2312"/>
          <w:color w:val="000000"/>
          <w:szCs w:val="32"/>
        </w:rPr>
        <w:t>%；政府性基金预算财政拨款收入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r>
        <w:rPr>
          <w:rFonts w:hint="eastAsia" w:ascii="仿宋_GB2312" w:hAnsi="仿宋_GB2312" w:eastAsia="仿宋_GB2312" w:cs="仿宋_GB2312"/>
          <w:szCs w:val="32"/>
        </w:rPr>
        <w:t>国有资本经营预算财政拨款收入</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万元，占</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w:t>
      </w:r>
      <w:r>
        <w:rPr>
          <w:rFonts w:hint="eastAsia" w:ascii="仿宋_GB2312" w:hAnsi="仿宋_GB2312" w:eastAsia="仿宋_GB2312" w:cs="仿宋_GB2312"/>
          <w:color w:val="000000"/>
          <w:szCs w:val="32"/>
        </w:rPr>
        <w:t>上级补助收入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%；事业收入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%；经营收入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%；附属单位上缴收入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%；其他收入</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p>
    <w:p>
      <w:pPr>
        <w:spacing w:line="600" w:lineRule="exact"/>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（图2：收入决算结构图）（饼状图）</w:t>
      </w:r>
    </w:p>
    <w:p>
      <w:pPr>
        <w:pStyle w:val="2"/>
        <w:rPr>
          <w:rFonts w:hint="eastAsia" w:ascii="仿宋_GB2312" w:hAnsi="仿宋_GB2312" w:eastAsia="仿宋_GB2312" w:cs="仿宋_GB2312"/>
        </w:rPr>
      </w:pPr>
      <w:r>
        <w:rPr>
          <w:rFonts w:hint="eastAsia" w:ascii="仿宋_GB2312" w:hAnsi="仿宋_GB2312" w:eastAsia="仿宋_GB2312" w:cs="仿宋_GB2312"/>
          <w:lang w:eastAsia="zh-CN"/>
        </w:rPr>
        <w:drawing>
          <wp:inline distT="0" distB="0" distL="114300" distR="114300">
            <wp:extent cx="3577590" cy="1965325"/>
            <wp:effectExtent l="4445" t="4445" r="18415" b="1143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jc w:val="both"/>
        <w:rPr>
          <w:rFonts w:hint="eastAsia" w:ascii="仿宋_GB2312" w:hAnsi="仿宋_GB2312" w:eastAsia="仿宋_GB2312" w:cs="仿宋_GB2312"/>
          <w:color w:val="FF0000"/>
          <w:szCs w:val="32"/>
        </w:rPr>
      </w:pPr>
    </w:p>
    <w:p>
      <w:pPr>
        <w:pStyle w:val="19"/>
        <w:numPr>
          <w:ilvl w:val="0"/>
          <w:numId w:val="2"/>
        </w:numPr>
        <w:spacing w:line="600" w:lineRule="exact"/>
        <w:ind w:firstLineChars="0"/>
        <w:outlineLvl w:val="1"/>
        <w:rPr>
          <w:rStyle w:val="18"/>
          <w:rFonts w:hint="eastAsia" w:ascii="仿宋_GB2312" w:hAnsi="仿宋_GB2312" w:eastAsia="仿宋_GB2312" w:cs="仿宋_GB2312"/>
          <w:b w:val="0"/>
        </w:rPr>
      </w:pPr>
      <w:bookmarkStart w:id="14" w:name="_Toc15377207"/>
      <w:bookmarkStart w:id="15" w:name="_Toc15396605"/>
      <w:bookmarkStart w:id="16" w:name="_Toc6526"/>
      <w:r>
        <w:rPr>
          <w:rFonts w:hint="eastAsia" w:ascii="仿宋_GB2312" w:hAnsi="仿宋_GB2312" w:eastAsia="仿宋_GB2312" w:cs="仿宋_GB2312"/>
          <w:color w:val="000000"/>
          <w:szCs w:val="32"/>
        </w:rPr>
        <w:t>支</w:t>
      </w:r>
      <w:r>
        <w:rPr>
          <w:rStyle w:val="18"/>
          <w:rFonts w:hint="eastAsia" w:ascii="仿宋_GB2312" w:hAnsi="仿宋_GB2312" w:eastAsia="仿宋_GB2312" w:cs="仿宋_GB2312"/>
          <w:b w:val="0"/>
        </w:rPr>
        <w:t>出决算情况说明</w:t>
      </w:r>
      <w:bookmarkEnd w:id="14"/>
      <w:bookmarkEnd w:id="15"/>
      <w:bookmarkEnd w:id="16"/>
    </w:p>
    <w:p>
      <w:pPr>
        <w:spacing w:line="600" w:lineRule="exact"/>
        <w:ind w:firstLine="640" w:firstLineChars="200"/>
        <w:rPr>
          <w:rFonts w:hint="eastAsia" w:ascii="仿宋_GB2312" w:hAnsi="仿宋_GB2312" w:eastAsia="仿宋_GB2312" w:cs="仿宋_GB2312"/>
          <w:color w:val="000000"/>
          <w:szCs w:val="32"/>
          <w:shd w:val="pct10" w:color="auto" w:fill="FFFFFF"/>
        </w:rPr>
      </w:pPr>
      <w:r>
        <w:rPr>
          <w:rFonts w:hint="eastAsia" w:ascii="仿宋_GB2312" w:hAnsi="仿宋_GB2312" w:eastAsia="仿宋_GB2312" w:cs="仿宋_GB2312"/>
          <w:color w:val="000000"/>
          <w:szCs w:val="32"/>
        </w:rPr>
        <w:t>2021年本年支出合计</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万元，其中：基本支出</w:t>
      </w:r>
      <w:r>
        <w:rPr>
          <w:rFonts w:hint="eastAsia" w:ascii="仿宋_GB2312" w:hAnsi="仿宋_GB2312" w:eastAsia="仿宋_GB2312" w:cs="仿宋_GB2312"/>
          <w:color w:val="000000"/>
          <w:szCs w:val="32"/>
          <w:lang w:val="en-US" w:eastAsia="zh-CN"/>
        </w:rPr>
        <w:t>143.32</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32.39</w:t>
      </w:r>
      <w:r>
        <w:rPr>
          <w:rFonts w:hint="eastAsia" w:ascii="仿宋_GB2312" w:hAnsi="仿宋_GB2312" w:eastAsia="仿宋_GB2312" w:cs="仿宋_GB2312"/>
          <w:color w:val="000000"/>
          <w:szCs w:val="32"/>
        </w:rPr>
        <w:t>%；项目支出</w:t>
      </w:r>
      <w:r>
        <w:rPr>
          <w:rFonts w:hint="eastAsia" w:ascii="仿宋_GB2312" w:hAnsi="仿宋_GB2312" w:eastAsia="仿宋_GB2312" w:cs="仿宋_GB2312"/>
          <w:color w:val="000000"/>
          <w:szCs w:val="32"/>
          <w:lang w:val="en-US" w:eastAsia="zh-CN"/>
        </w:rPr>
        <w:t>299.2</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67.61</w:t>
      </w:r>
      <w:r>
        <w:rPr>
          <w:rFonts w:hint="eastAsia" w:ascii="仿宋_GB2312" w:hAnsi="仿宋_GB2312" w:eastAsia="仿宋_GB2312" w:cs="仿宋_GB2312"/>
          <w:color w:val="000000"/>
          <w:szCs w:val="32"/>
        </w:rPr>
        <w:t>%；上缴上级支出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%；经营支出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%；对附属单位补助支出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p>
    <w:p>
      <w:pPr>
        <w:spacing w:line="600" w:lineRule="exact"/>
        <w:jc w:val="center"/>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（图3：支出决算结构图）（饼状图）</w:t>
      </w:r>
    </w:p>
    <w:p>
      <w:pPr>
        <w:pStyle w:val="7"/>
        <w:jc w:val="center"/>
        <w:rPr>
          <w:rFonts w:hint="eastAsia" w:ascii="仿宋_GB2312" w:hAnsi="仿宋_GB2312" w:eastAsia="仿宋_GB2312" w:cs="仿宋_GB2312"/>
          <w:color w:val="FF0000"/>
          <w:szCs w:val="32"/>
        </w:rPr>
      </w:pPr>
      <w:r>
        <w:rPr>
          <w:rFonts w:hint="eastAsia" w:ascii="仿宋_GB2312" w:hAnsi="仿宋_GB2312" w:eastAsia="仿宋_GB2312" w:cs="仿宋_GB2312"/>
          <w:lang w:eastAsia="zh-CN"/>
        </w:rPr>
        <w:drawing>
          <wp:inline distT="0" distB="0" distL="114300" distR="114300">
            <wp:extent cx="3314700" cy="1821180"/>
            <wp:effectExtent l="4445" t="4445" r="14605" b="222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18"/>
          <w:rFonts w:hint="eastAsia" w:ascii="仿宋_GB2312" w:hAnsi="仿宋_GB2312" w:eastAsia="仿宋_GB2312" w:cs="仿宋_GB2312"/>
          <w:b w:val="0"/>
        </w:rPr>
      </w:pPr>
      <w:bookmarkStart w:id="17" w:name="_Toc15377208"/>
      <w:bookmarkStart w:id="18" w:name="_Toc14334"/>
      <w:bookmarkStart w:id="19" w:name="_Toc15396606"/>
      <w:r>
        <w:rPr>
          <w:rFonts w:hint="eastAsia" w:ascii="仿宋_GB2312" w:hAnsi="仿宋_GB2312" w:eastAsia="仿宋_GB2312" w:cs="仿宋_GB2312"/>
          <w:color w:val="000000"/>
          <w:szCs w:val="32"/>
        </w:rPr>
        <w:t>四、财</w:t>
      </w:r>
      <w:r>
        <w:rPr>
          <w:rStyle w:val="18"/>
          <w:rFonts w:hint="eastAsia" w:ascii="仿宋_GB2312" w:hAnsi="仿宋_GB2312" w:eastAsia="仿宋_GB2312" w:cs="仿宋_GB2312"/>
          <w:b w:val="0"/>
        </w:rPr>
        <w:t>政拨款收入支出决算总体情况说明</w:t>
      </w:r>
      <w:bookmarkEnd w:id="17"/>
      <w:bookmarkEnd w:id="18"/>
      <w:bookmarkEnd w:id="19"/>
    </w:p>
    <w:p>
      <w:pPr>
        <w:spacing w:line="60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2021年财政拨款收、支总计</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万元。与2020年相比，财政拨款收、支总计各减少</w:t>
      </w:r>
      <w:r>
        <w:rPr>
          <w:rFonts w:hint="eastAsia" w:ascii="仿宋_GB2312" w:hAnsi="仿宋_GB2312" w:eastAsia="仿宋_GB2312" w:cs="仿宋_GB2312"/>
          <w:color w:val="000000"/>
          <w:szCs w:val="32"/>
          <w:lang w:val="en-US" w:eastAsia="zh-CN"/>
        </w:rPr>
        <w:t>66.5</w:t>
      </w:r>
      <w:r>
        <w:rPr>
          <w:rFonts w:hint="eastAsia" w:ascii="仿宋_GB2312" w:hAnsi="仿宋_GB2312" w:eastAsia="仿宋_GB2312" w:cs="仿宋_GB2312"/>
          <w:color w:val="000000"/>
          <w:szCs w:val="32"/>
        </w:rPr>
        <w:t>万元，下降</w:t>
      </w:r>
      <w:r>
        <w:rPr>
          <w:rFonts w:hint="eastAsia" w:ascii="仿宋_GB2312" w:hAnsi="仿宋_GB2312" w:eastAsia="仿宋_GB2312" w:cs="仿宋_GB2312"/>
          <w:color w:val="000000"/>
          <w:szCs w:val="32"/>
          <w:lang w:val="en-US" w:eastAsia="zh-CN"/>
        </w:rPr>
        <w:t>13.06</w:t>
      </w:r>
      <w:r>
        <w:rPr>
          <w:rFonts w:hint="eastAsia" w:ascii="仿宋_GB2312" w:hAnsi="仿宋_GB2312" w:eastAsia="仿宋_GB2312" w:cs="仿宋_GB2312"/>
          <w:color w:val="000000"/>
          <w:szCs w:val="32"/>
        </w:rPr>
        <w:t>%。主要变动原因是</w:t>
      </w:r>
      <w:r>
        <w:rPr>
          <w:rFonts w:hint="eastAsia" w:ascii="仿宋_GB2312" w:hAnsi="仿宋_GB2312" w:eastAsia="仿宋_GB2312" w:cs="仿宋_GB2312"/>
          <w:color w:val="000000"/>
          <w:szCs w:val="32"/>
          <w:lang w:val="en-US" w:eastAsia="zh-CN"/>
        </w:rPr>
        <w:t>2020年度</w:t>
      </w:r>
      <w:r>
        <w:rPr>
          <w:rFonts w:hint="eastAsia" w:ascii="仿宋_GB2312" w:hAnsi="仿宋_GB2312" w:eastAsia="仿宋_GB2312" w:cs="仿宋_GB2312"/>
          <w:color w:val="000000"/>
          <w:szCs w:val="32"/>
        </w:rPr>
        <w:t>项目支出</w:t>
      </w:r>
      <w:r>
        <w:rPr>
          <w:rFonts w:hint="eastAsia" w:ascii="仿宋_GB2312" w:hAnsi="仿宋_GB2312" w:eastAsia="仿宋_GB2312" w:cs="仿宋_GB2312"/>
          <w:color w:val="000000"/>
          <w:szCs w:val="32"/>
          <w:lang w:eastAsia="zh-CN"/>
        </w:rPr>
        <w:t>有留置中心改扩建</w:t>
      </w:r>
      <w:r>
        <w:rPr>
          <w:rFonts w:hint="eastAsia" w:ascii="仿宋_GB2312" w:hAnsi="仿宋_GB2312" w:eastAsia="仿宋_GB2312" w:cs="仿宋_GB2312"/>
          <w:color w:val="000000"/>
          <w:szCs w:val="32"/>
        </w:rPr>
        <w:t>工程款支出</w:t>
      </w:r>
      <w:r>
        <w:rPr>
          <w:rFonts w:hint="eastAsia" w:ascii="仿宋_GB2312" w:hAnsi="仿宋_GB2312" w:eastAsia="仿宋_GB2312" w:cs="仿宋_GB2312"/>
          <w:color w:val="000000"/>
          <w:szCs w:val="32"/>
          <w:lang w:eastAsia="zh-CN"/>
        </w:rPr>
        <w:t>，</w:t>
      </w:r>
      <w:r>
        <w:rPr>
          <w:rFonts w:hint="eastAsia" w:ascii="仿宋_GB2312" w:hAnsi="仿宋_GB2312" w:eastAsia="仿宋_GB2312" w:cs="仿宋_GB2312"/>
          <w:color w:val="000000"/>
          <w:szCs w:val="32"/>
          <w:lang w:val="en-US" w:eastAsia="zh-CN"/>
        </w:rPr>
        <w:t>本年度无</w:t>
      </w:r>
      <w:r>
        <w:rPr>
          <w:rFonts w:hint="eastAsia" w:ascii="仿宋_GB2312" w:hAnsi="仿宋_GB2312" w:eastAsia="仿宋_GB2312" w:cs="仿宋_GB2312"/>
          <w:color w:val="000000"/>
          <w:szCs w:val="32"/>
          <w:lang w:eastAsia="zh-CN"/>
        </w:rPr>
        <w:t>。</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（图4：财政拨款收、支决算总计变动情况）（柱状图）</w:t>
      </w:r>
    </w:p>
    <w:p>
      <w:pPr>
        <w:pStyle w:val="7"/>
        <w:jc w:val="center"/>
        <w:rPr>
          <w:rFonts w:hint="eastAsia" w:ascii="仿宋_GB2312" w:hAnsi="仿宋_GB2312" w:eastAsia="仿宋_GB2312" w:cs="仿宋_GB2312"/>
          <w:b/>
          <w:bCs/>
        </w:rPr>
      </w:pPr>
      <w:r>
        <w:rPr>
          <w:rFonts w:hint="eastAsia" w:ascii="仿宋_GB2312" w:hAnsi="仿宋_GB2312" w:eastAsia="仿宋_GB2312" w:cs="仿宋_GB2312"/>
          <w:color w:val="000000"/>
          <w:szCs w:val="32"/>
          <w:lang w:eastAsia="zh-CN"/>
        </w:rPr>
        <w:drawing>
          <wp:inline distT="0" distB="0" distL="114300" distR="114300">
            <wp:extent cx="3834765" cy="2066925"/>
            <wp:effectExtent l="4445" t="4445" r="889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hint="eastAsia" w:ascii="仿宋_GB2312" w:hAnsi="仿宋_GB2312" w:eastAsia="仿宋_GB2312" w:cs="仿宋_GB2312"/>
          <w:b/>
          <w:color w:val="00B050"/>
          <w:szCs w:val="32"/>
        </w:rPr>
      </w:pPr>
    </w:p>
    <w:p>
      <w:pPr>
        <w:spacing w:line="600" w:lineRule="exact"/>
        <w:ind w:firstLine="640" w:firstLineChars="200"/>
        <w:outlineLvl w:val="1"/>
        <w:rPr>
          <w:rStyle w:val="18"/>
          <w:rFonts w:hint="eastAsia" w:ascii="仿宋_GB2312" w:hAnsi="仿宋_GB2312" w:eastAsia="仿宋_GB2312" w:cs="仿宋_GB2312"/>
          <w:b w:val="0"/>
        </w:rPr>
      </w:pPr>
      <w:bookmarkStart w:id="20" w:name="_Toc15396607"/>
      <w:bookmarkStart w:id="21" w:name="_Toc15377209"/>
      <w:bookmarkStart w:id="22" w:name="_Toc16755"/>
      <w:r>
        <w:rPr>
          <w:rFonts w:hint="eastAsia" w:ascii="仿宋_GB2312" w:hAnsi="仿宋_GB2312" w:eastAsia="仿宋_GB2312" w:cs="仿宋_GB2312"/>
          <w:color w:val="000000"/>
          <w:szCs w:val="32"/>
        </w:rPr>
        <w:t>五、</w:t>
      </w:r>
      <w:r>
        <w:rPr>
          <w:rFonts w:hint="eastAsia" w:ascii="仿宋_GB2312" w:hAnsi="仿宋_GB2312" w:eastAsia="仿宋_GB2312" w:cs="仿宋_GB2312"/>
          <w:b/>
          <w:color w:val="000000"/>
          <w:szCs w:val="32"/>
        </w:rPr>
        <w:t>一</w:t>
      </w:r>
      <w:r>
        <w:rPr>
          <w:rStyle w:val="18"/>
          <w:rFonts w:hint="eastAsia" w:ascii="仿宋_GB2312" w:hAnsi="仿宋_GB2312" w:eastAsia="仿宋_GB2312" w:cs="仿宋_GB2312"/>
          <w:b w:val="0"/>
        </w:rPr>
        <w:t>般公共预算财政拨款支出决算情况说明</w:t>
      </w:r>
      <w:bookmarkEnd w:id="20"/>
      <w:bookmarkEnd w:id="21"/>
      <w:bookmarkEnd w:id="22"/>
    </w:p>
    <w:p>
      <w:pPr>
        <w:spacing w:line="600" w:lineRule="exact"/>
        <w:ind w:firstLine="643" w:firstLineChars="200"/>
        <w:outlineLvl w:val="2"/>
        <w:rPr>
          <w:rFonts w:hint="eastAsia" w:ascii="仿宋_GB2312" w:hAnsi="仿宋_GB2312" w:eastAsia="仿宋_GB2312" w:cs="仿宋_GB2312"/>
          <w:b/>
          <w:color w:val="000000"/>
          <w:szCs w:val="32"/>
        </w:rPr>
      </w:pPr>
      <w:bookmarkStart w:id="23" w:name="_Toc15377210"/>
      <w:r>
        <w:rPr>
          <w:rFonts w:hint="eastAsia" w:ascii="仿宋_GB2312" w:hAnsi="仿宋_GB2312" w:eastAsia="仿宋_GB2312" w:cs="仿宋_GB2312"/>
          <w:b/>
          <w:color w:val="000000"/>
          <w:szCs w:val="32"/>
        </w:rPr>
        <w:t>（一）一般公共预算财政拨款支出决算总体情况</w:t>
      </w:r>
      <w:bookmarkEnd w:id="23"/>
    </w:p>
    <w:p>
      <w:pPr>
        <w:spacing w:line="600" w:lineRule="exact"/>
        <w:ind w:firstLine="640" w:firstLineChars="200"/>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rPr>
        <w:t>2021年一般公共预算财政拨款支出</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万元，占本年支出合计的</w:t>
      </w:r>
      <w:r>
        <w:rPr>
          <w:rFonts w:hint="eastAsia" w:ascii="仿宋_GB2312" w:hAnsi="仿宋_GB2312" w:eastAsia="仿宋_GB2312" w:cs="仿宋_GB2312"/>
          <w:color w:val="000000"/>
          <w:szCs w:val="32"/>
          <w:lang w:val="en-US" w:eastAsia="zh-CN"/>
        </w:rPr>
        <w:t>100</w:t>
      </w:r>
      <w:r>
        <w:rPr>
          <w:rFonts w:hint="eastAsia" w:ascii="仿宋_GB2312" w:hAnsi="仿宋_GB2312" w:eastAsia="仿宋_GB2312" w:cs="仿宋_GB2312"/>
          <w:color w:val="000000"/>
          <w:szCs w:val="32"/>
        </w:rPr>
        <w:t>%。与2020年相比，一般公共预算财政拨款减少</w:t>
      </w:r>
      <w:r>
        <w:rPr>
          <w:rFonts w:hint="eastAsia" w:ascii="仿宋_GB2312" w:hAnsi="仿宋_GB2312" w:eastAsia="仿宋_GB2312" w:cs="仿宋_GB2312"/>
          <w:color w:val="000000"/>
          <w:szCs w:val="32"/>
          <w:lang w:val="en-US" w:eastAsia="zh-CN"/>
        </w:rPr>
        <w:t>66.5</w:t>
      </w:r>
      <w:r>
        <w:rPr>
          <w:rFonts w:hint="eastAsia" w:ascii="仿宋_GB2312" w:hAnsi="仿宋_GB2312" w:eastAsia="仿宋_GB2312" w:cs="仿宋_GB2312"/>
          <w:color w:val="000000"/>
          <w:szCs w:val="32"/>
        </w:rPr>
        <w:t>万元，下降</w:t>
      </w:r>
      <w:r>
        <w:rPr>
          <w:rFonts w:hint="eastAsia" w:ascii="仿宋_GB2312" w:hAnsi="仿宋_GB2312" w:eastAsia="仿宋_GB2312" w:cs="仿宋_GB2312"/>
          <w:color w:val="000000"/>
          <w:szCs w:val="32"/>
          <w:lang w:val="en-US" w:eastAsia="zh-CN"/>
        </w:rPr>
        <w:t>13.06</w:t>
      </w:r>
      <w:r>
        <w:rPr>
          <w:rFonts w:hint="eastAsia" w:ascii="仿宋_GB2312" w:hAnsi="仿宋_GB2312" w:eastAsia="仿宋_GB2312" w:cs="仿宋_GB2312"/>
          <w:color w:val="000000"/>
          <w:szCs w:val="32"/>
        </w:rPr>
        <w:t>%。主要变动原因是</w:t>
      </w:r>
      <w:r>
        <w:rPr>
          <w:rFonts w:hint="eastAsia" w:ascii="仿宋_GB2312" w:hAnsi="仿宋_GB2312" w:eastAsia="仿宋_GB2312" w:cs="仿宋_GB2312"/>
          <w:color w:val="000000"/>
          <w:szCs w:val="32"/>
          <w:lang w:val="en-US" w:eastAsia="zh-CN"/>
        </w:rPr>
        <w:t>2020年度使用财政拨款支付</w:t>
      </w:r>
      <w:r>
        <w:rPr>
          <w:rFonts w:hint="eastAsia" w:ascii="仿宋_GB2312" w:hAnsi="仿宋_GB2312" w:eastAsia="仿宋_GB2312" w:cs="仿宋_GB2312"/>
          <w:color w:val="000000"/>
          <w:szCs w:val="32"/>
          <w:lang w:eastAsia="zh-CN"/>
        </w:rPr>
        <w:t>留置中心改扩建</w:t>
      </w:r>
      <w:r>
        <w:rPr>
          <w:rFonts w:hint="eastAsia" w:ascii="仿宋_GB2312" w:hAnsi="仿宋_GB2312" w:eastAsia="仿宋_GB2312" w:cs="仿宋_GB2312"/>
          <w:color w:val="000000"/>
          <w:szCs w:val="32"/>
        </w:rPr>
        <w:t>工程款</w:t>
      </w:r>
      <w:r>
        <w:rPr>
          <w:rFonts w:hint="eastAsia" w:ascii="仿宋_GB2312" w:hAnsi="仿宋_GB2312" w:eastAsia="仿宋_GB2312" w:cs="仿宋_GB2312"/>
          <w:color w:val="000000"/>
          <w:szCs w:val="32"/>
          <w:lang w:val="en-US" w:eastAsia="zh-CN"/>
        </w:rPr>
        <w:t>，本年度无。</w:t>
      </w:r>
    </w:p>
    <w:p>
      <w:pPr>
        <w:spacing w:line="600" w:lineRule="exact"/>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color w:val="000000"/>
          <w:szCs w:val="32"/>
        </w:rPr>
        <w:t>（图5：一般公共预算财政拨款支出决算变动情况）（柱状图）</w:t>
      </w:r>
    </w:p>
    <w:p>
      <w:pPr>
        <w:pStyle w:val="7"/>
        <w:rPr>
          <w:rFonts w:hint="eastAsia" w:ascii="仿宋_GB2312" w:hAnsi="仿宋_GB2312" w:eastAsia="仿宋_GB2312" w:cs="仿宋_GB2312"/>
          <w:color w:val="000000"/>
          <w:szCs w:val="32"/>
          <w:lang w:val="en-US" w:eastAsia="zh-CN"/>
        </w:rPr>
      </w:pPr>
      <w:r>
        <w:rPr>
          <w:rFonts w:hint="eastAsia" w:ascii="仿宋_GB2312" w:hAnsi="仿宋_GB2312" w:eastAsia="仿宋_GB2312" w:cs="仿宋_GB2312"/>
          <w:color w:val="000000"/>
          <w:szCs w:val="32"/>
          <w:lang w:eastAsia="zh-CN"/>
        </w:rPr>
        <w:drawing>
          <wp:anchor distT="0" distB="0" distL="114300" distR="114300" simplePos="0" relativeHeight="251659264" behindDoc="1" locked="0" layoutInCell="1" allowOverlap="1">
            <wp:simplePos x="0" y="0"/>
            <wp:positionH relativeFrom="column">
              <wp:posOffset>671830</wp:posOffset>
            </wp:positionH>
            <wp:positionV relativeFrom="paragraph">
              <wp:posOffset>37465</wp:posOffset>
            </wp:positionV>
            <wp:extent cx="4083685" cy="2200910"/>
            <wp:effectExtent l="4445" t="4445" r="7620" b="23495"/>
            <wp:wrapTight wrapText="bothSides">
              <wp:wrapPolygon>
                <wp:start x="-24" y="-44"/>
                <wp:lineTo x="-24" y="21457"/>
                <wp:lineTo x="21540" y="21457"/>
                <wp:lineTo x="21540" y="-44"/>
                <wp:lineTo x="-24" y="-44"/>
              </wp:wrapPolygon>
            </wp:wrapTight>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7"/>
        <w:rPr>
          <w:rFonts w:hint="eastAsia" w:ascii="仿宋_GB2312" w:hAnsi="仿宋_GB2312" w:eastAsia="仿宋_GB2312" w:cs="仿宋_GB2312"/>
          <w:color w:val="000000"/>
          <w:szCs w:val="32"/>
          <w:lang w:val="en-US" w:eastAsia="zh-CN"/>
        </w:rPr>
      </w:pPr>
    </w:p>
    <w:p>
      <w:pPr>
        <w:pStyle w:val="7"/>
        <w:rPr>
          <w:rFonts w:hint="eastAsia" w:ascii="仿宋_GB2312" w:hAnsi="仿宋_GB2312" w:eastAsia="仿宋_GB2312" w:cs="仿宋_GB2312"/>
          <w:color w:val="000000"/>
          <w:szCs w:val="32"/>
          <w:lang w:val="en-US" w:eastAsia="zh-CN"/>
        </w:rPr>
      </w:pPr>
    </w:p>
    <w:p>
      <w:pPr>
        <w:spacing w:line="600" w:lineRule="exact"/>
        <w:rPr>
          <w:rFonts w:hint="eastAsia" w:ascii="仿宋_GB2312" w:hAnsi="仿宋_GB2312" w:eastAsia="仿宋_GB2312" w:cs="仿宋_GB2312"/>
          <w:color w:val="000000"/>
          <w:szCs w:val="32"/>
        </w:rPr>
      </w:pPr>
    </w:p>
    <w:p>
      <w:pPr>
        <w:spacing w:line="600" w:lineRule="exact"/>
        <w:ind w:firstLine="643" w:firstLineChars="200"/>
        <w:outlineLvl w:val="2"/>
        <w:rPr>
          <w:rFonts w:hint="eastAsia" w:ascii="仿宋_GB2312" w:hAnsi="仿宋_GB2312" w:eastAsia="仿宋_GB2312" w:cs="仿宋_GB2312"/>
          <w:b/>
          <w:color w:val="000000"/>
          <w:szCs w:val="32"/>
        </w:rPr>
      </w:pPr>
      <w:bookmarkStart w:id="24" w:name="_Toc15377211"/>
      <w:r>
        <w:rPr>
          <w:rFonts w:hint="eastAsia" w:ascii="仿宋_GB2312" w:hAnsi="仿宋_GB2312" w:eastAsia="仿宋_GB2312" w:cs="仿宋_GB2312"/>
          <w:b/>
          <w:color w:val="000000"/>
          <w:szCs w:val="32"/>
        </w:rPr>
        <w:t>（二）一般公共预算财政拨款支出决算结构情况</w:t>
      </w:r>
      <w:bookmarkEnd w:id="24"/>
    </w:p>
    <w:p>
      <w:pPr>
        <w:spacing w:line="60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2021年一般公共预算财政拨款支出</w:t>
      </w:r>
      <w:r>
        <w:rPr>
          <w:rFonts w:hint="eastAsia" w:ascii="仿宋_GB2312" w:hAnsi="仿宋_GB2312" w:eastAsia="仿宋_GB2312" w:cs="仿宋_GB2312"/>
          <w:color w:val="000000"/>
          <w:szCs w:val="32"/>
          <w:lang w:val="en-US" w:eastAsia="zh-CN"/>
        </w:rPr>
        <w:t>442.52</w:t>
      </w:r>
      <w:r>
        <w:rPr>
          <w:rFonts w:hint="eastAsia" w:ascii="仿宋_GB2312" w:hAnsi="仿宋_GB2312" w:eastAsia="仿宋_GB2312" w:cs="仿宋_GB2312"/>
          <w:color w:val="000000"/>
          <w:szCs w:val="32"/>
        </w:rPr>
        <w:t>万元，主要用于以下方面:</w:t>
      </w:r>
      <w:r>
        <w:rPr>
          <w:rFonts w:hint="eastAsia" w:ascii="仿宋_GB2312" w:hAnsi="仿宋_GB2312" w:eastAsia="仿宋_GB2312" w:cs="仿宋_GB2312"/>
          <w:b/>
          <w:color w:val="000000"/>
          <w:szCs w:val="32"/>
        </w:rPr>
        <w:t>一般公共服务（类）</w:t>
      </w:r>
      <w:r>
        <w:rPr>
          <w:rFonts w:hint="eastAsia" w:ascii="仿宋_GB2312" w:hAnsi="仿宋_GB2312" w:eastAsia="仿宋_GB2312" w:cs="仿宋_GB2312"/>
          <w:color w:val="000000"/>
          <w:szCs w:val="32"/>
        </w:rPr>
        <w:t>支出</w:t>
      </w:r>
      <w:r>
        <w:rPr>
          <w:rFonts w:hint="eastAsia" w:ascii="仿宋_GB2312" w:hAnsi="仿宋_GB2312" w:eastAsia="仿宋_GB2312" w:cs="仿宋_GB2312"/>
          <w:color w:val="000000"/>
          <w:szCs w:val="32"/>
          <w:lang w:val="en-US" w:eastAsia="zh-CN"/>
        </w:rPr>
        <w:t>406.38</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91.83</w:t>
      </w:r>
      <w:r>
        <w:rPr>
          <w:rFonts w:hint="eastAsia" w:ascii="仿宋_GB2312" w:hAnsi="仿宋_GB2312" w:eastAsia="仿宋_GB2312" w:cs="仿宋_GB2312"/>
          <w:color w:val="000000"/>
          <w:szCs w:val="32"/>
        </w:rPr>
        <w:t>%；</w:t>
      </w:r>
      <w:r>
        <w:rPr>
          <w:rFonts w:hint="eastAsia" w:ascii="仿宋_GB2312" w:hAnsi="仿宋_GB2312" w:eastAsia="仿宋_GB2312" w:cs="仿宋_GB2312"/>
          <w:b/>
          <w:color w:val="000000"/>
          <w:szCs w:val="32"/>
        </w:rPr>
        <w:t>教育支出（类）</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r>
        <w:rPr>
          <w:rFonts w:hint="eastAsia" w:ascii="仿宋_GB2312" w:hAnsi="仿宋_GB2312" w:eastAsia="仿宋_GB2312" w:cs="仿宋_GB2312"/>
          <w:b/>
          <w:color w:val="000000"/>
          <w:szCs w:val="32"/>
        </w:rPr>
        <w:t>科学技术（类）</w:t>
      </w:r>
      <w:r>
        <w:rPr>
          <w:rFonts w:hint="eastAsia" w:ascii="仿宋_GB2312" w:hAnsi="仿宋_GB2312" w:eastAsia="仿宋_GB2312" w:cs="仿宋_GB2312"/>
          <w:color w:val="000000"/>
          <w:szCs w:val="32"/>
        </w:rPr>
        <w:t>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r>
        <w:rPr>
          <w:rFonts w:hint="eastAsia" w:ascii="仿宋_GB2312" w:hAnsi="仿宋_GB2312" w:eastAsia="仿宋_GB2312" w:cs="仿宋_GB2312"/>
          <w:b/>
          <w:bCs/>
          <w:color w:val="000000"/>
          <w:szCs w:val="32"/>
        </w:rPr>
        <w:t>文化旅游体育与传媒（类）支出</w:t>
      </w:r>
      <w:r>
        <w:rPr>
          <w:rFonts w:hint="eastAsia" w:ascii="仿宋_GB2312" w:hAnsi="仿宋_GB2312" w:eastAsia="仿宋_GB2312" w:cs="仿宋_GB2312"/>
          <w:b/>
          <w:bCs/>
          <w:color w:val="000000"/>
          <w:szCs w:val="32"/>
          <w:lang w:val="en-US" w:eastAsia="zh-CN"/>
        </w:rPr>
        <w:t>0</w:t>
      </w:r>
      <w:r>
        <w:rPr>
          <w:rFonts w:hint="eastAsia" w:ascii="仿宋_GB2312" w:hAnsi="仿宋_GB2312" w:eastAsia="仿宋_GB2312" w:cs="仿宋_GB2312"/>
          <w:b/>
          <w:bCs/>
          <w:color w:val="000000"/>
          <w:szCs w:val="32"/>
        </w:rPr>
        <w:t>万元，占</w:t>
      </w:r>
      <w:r>
        <w:rPr>
          <w:rFonts w:hint="eastAsia" w:ascii="仿宋_GB2312" w:hAnsi="仿宋_GB2312" w:eastAsia="仿宋_GB2312" w:cs="仿宋_GB2312"/>
          <w:b/>
          <w:bCs/>
          <w:color w:val="000000"/>
          <w:szCs w:val="32"/>
          <w:lang w:val="en-US" w:eastAsia="zh-CN"/>
        </w:rPr>
        <w:t>0</w:t>
      </w:r>
      <w:r>
        <w:rPr>
          <w:rFonts w:hint="eastAsia" w:ascii="仿宋_GB2312" w:hAnsi="仿宋_GB2312" w:eastAsia="仿宋_GB2312" w:cs="仿宋_GB2312"/>
          <w:b/>
          <w:bCs/>
          <w:color w:val="000000"/>
          <w:szCs w:val="32"/>
        </w:rPr>
        <w:t>%</w:t>
      </w:r>
      <w:r>
        <w:rPr>
          <w:rFonts w:hint="eastAsia" w:ascii="仿宋_GB2312" w:hAnsi="仿宋_GB2312" w:eastAsia="仿宋_GB2312" w:cs="仿宋_GB2312"/>
          <w:color w:val="000000"/>
          <w:szCs w:val="32"/>
        </w:rPr>
        <w:t>；</w:t>
      </w:r>
      <w:r>
        <w:rPr>
          <w:rFonts w:hint="eastAsia" w:ascii="仿宋_GB2312" w:hAnsi="仿宋_GB2312" w:eastAsia="仿宋_GB2312" w:cs="仿宋_GB2312"/>
          <w:b/>
          <w:color w:val="000000"/>
          <w:szCs w:val="32"/>
        </w:rPr>
        <w:t>社会保障和就业（类）</w:t>
      </w:r>
      <w:r>
        <w:rPr>
          <w:rFonts w:hint="eastAsia" w:ascii="仿宋_GB2312" w:hAnsi="仿宋_GB2312" w:eastAsia="仿宋_GB2312" w:cs="仿宋_GB2312"/>
          <w:color w:val="000000"/>
          <w:szCs w:val="32"/>
        </w:rPr>
        <w:t>支出</w:t>
      </w:r>
      <w:r>
        <w:rPr>
          <w:rFonts w:hint="eastAsia" w:ascii="仿宋_GB2312" w:hAnsi="仿宋_GB2312" w:eastAsia="仿宋_GB2312" w:cs="仿宋_GB2312"/>
          <w:color w:val="000000"/>
          <w:szCs w:val="32"/>
          <w:lang w:val="en-US" w:eastAsia="zh-CN"/>
        </w:rPr>
        <w:t>19.36</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4.38</w:t>
      </w:r>
      <w:r>
        <w:rPr>
          <w:rFonts w:hint="eastAsia" w:ascii="仿宋_GB2312" w:hAnsi="仿宋_GB2312" w:eastAsia="仿宋_GB2312" w:cs="仿宋_GB2312"/>
          <w:color w:val="000000"/>
          <w:szCs w:val="32"/>
        </w:rPr>
        <w:t>%；</w:t>
      </w:r>
      <w:r>
        <w:rPr>
          <w:rFonts w:hint="eastAsia" w:ascii="仿宋_GB2312" w:hAnsi="仿宋_GB2312" w:eastAsia="仿宋_GB2312" w:cs="仿宋_GB2312"/>
          <w:b/>
          <w:bCs/>
          <w:color w:val="000000"/>
          <w:szCs w:val="32"/>
        </w:rPr>
        <w:t>卫生健康支出</w:t>
      </w:r>
      <w:r>
        <w:rPr>
          <w:rFonts w:hint="eastAsia" w:ascii="仿宋_GB2312" w:hAnsi="仿宋_GB2312" w:eastAsia="仿宋_GB2312" w:cs="仿宋_GB2312"/>
          <w:color w:val="000000"/>
          <w:szCs w:val="32"/>
          <w:lang w:val="en-US" w:eastAsia="zh-CN"/>
        </w:rPr>
        <w:t>6.92</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1.56</w:t>
      </w:r>
      <w:r>
        <w:rPr>
          <w:rFonts w:hint="eastAsia" w:ascii="仿宋_GB2312" w:hAnsi="仿宋_GB2312" w:eastAsia="仿宋_GB2312" w:cs="仿宋_GB2312"/>
          <w:color w:val="000000"/>
          <w:szCs w:val="32"/>
        </w:rPr>
        <w:t>%；住房保障支出</w:t>
      </w:r>
      <w:r>
        <w:rPr>
          <w:rFonts w:hint="eastAsia" w:ascii="仿宋_GB2312" w:hAnsi="仿宋_GB2312" w:eastAsia="仿宋_GB2312" w:cs="仿宋_GB2312"/>
          <w:color w:val="000000"/>
          <w:szCs w:val="32"/>
          <w:lang w:val="en-US" w:eastAsia="zh-CN"/>
        </w:rPr>
        <w:t>9.86</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2.23</w:t>
      </w:r>
      <w:r>
        <w:rPr>
          <w:rFonts w:hint="eastAsia" w:ascii="仿宋_GB2312" w:hAnsi="仿宋_GB2312" w:eastAsia="仿宋_GB2312" w:cs="仿宋_GB2312"/>
          <w:color w:val="000000"/>
          <w:szCs w:val="32"/>
        </w:rPr>
        <w:t>%。</w:t>
      </w:r>
      <w:r>
        <w:rPr>
          <w:rFonts w:hint="eastAsia" w:ascii="仿宋_GB2312" w:hAnsi="仿宋_GB2312" w:eastAsia="仿宋_GB2312" w:cs="仿宋_GB2312"/>
          <w:b/>
          <w:color w:val="000000"/>
          <w:szCs w:val="32"/>
        </w:rPr>
        <w:t>（罗列全部功能分类科目，至类级。）</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（图6：一般公共预算财政拨款支出决算结构）（饼状图）</w:t>
      </w:r>
    </w:p>
    <w:p>
      <w:pPr>
        <w:pStyle w:val="7"/>
        <w:jc w:val="center"/>
        <w:rPr>
          <w:rFonts w:hint="eastAsia" w:ascii="仿宋_GB2312" w:hAnsi="仿宋_GB2312" w:eastAsia="仿宋_GB2312" w:cs="仿宋_GB2312"/>
        </w:rPr>
      </w:pPr>
      <w:r>
        <w:rPr>
          <w:rFonts w:hint="eastAsia" w:ascii="仿宋_GB2312" w:hAnsi="仿宋_GB2312" w:eastAsia="仿宋_GB2312" w:cs="仿宋_GB2312"/>
          <w:lang w:eastAsia="zh-CN"/>
        </w:rPr>
        <w:drawing>
          <wp:inline distT="0" distB="0" distL="114300" distR="114300">
            <wp:extent cx="3563620" cy="2077720"/>
            <wp:effectExtent l="5080" t="4445" r="12700" b="1333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hint="eastAsia" w:ascii="仿宋_GB2312" w:hAnsi="仿宋_GB2312" w:eastAsia="仿宋_GB2312" w:cs="仿宋_GB2312"/>
          <w:color w:val="000000"/>
          <w:szCs w:val="32"/>
        </w:rPr>
      </w:pPr>
    </w:p>
    <w:p>
      <w:pPr>
        <w:spacing w:line="600" w:lineRule="exact"/>
        <w:ind w:firstLine="643" w:firstLineChars="200"/>
        <w:outlineLvl w:val="2"/>
        <w:rPr>
          <w:rFonts w:hint="eastAsia" w:ascii="仿宋_GB2312" w:hAnsi="仿宋_GB2312" w:eastAsia="仿宋_GB2312" w:cs="仿宋_GB2312"/>
          <w:b/>
          <w:color w:val="000000"/>
          <w:szCs w:val="32"/>
        </w:rPr>
      </w:pPr>
      <w:bookmarkStart w:id="25" w:name="_Toc15377212"/>
      <w:r>
        <w:rPr>
          <w:rFonts w:hint="eastAsia" w:ascii="仿宋_GB2312" w:hAnsi="仿宋_GB2312" w:eastAsia="仿宋_GB2312" w:cs="仿宋_GB2312"/>
          <w:b/>
          <w:color w:val="000000"/>
          <w:szCs w:val="32"/>
        </w:rPr>
        <w:t>（三）一般公共预算财政拨款支出决算具体情况</w:t>
      </w:r>
      <w:bookmarkEnd w:id="25"/>
    </w:p>
    <w:p>
      <w:pPr>
        <w:spacing w:line="600" w:lineRule="exact"/>
        <w:ind w:firstLine="643" w:firstLineChars="200"/>
        <w:rPr>
          <w:rFonts w:hint="eastAsia" w:ascii="仿宋_GB2312" w:hAnsi="仿宋_GB2312" w:eastAsia="仿宋_GB2312" w:cs="仿宋_GB2312"/>
          <w:color w:val="FF0000"/>
          <w:szCs w:val="32"/>
        </w:rPr>
      </w:pPr>
      <w:bookmarkStart w:id="26" w:name="_Toc15377444"/>
      <w:bookmarkStart w:id="27" w:name="_Toc15377213"/>
      <w:bookmarkStart w:id="28" w:name="_Toc15378460"/>
      <w:r>
        <w:rPr>
          <w:rFonts w:hint="eastAsia" w:ascii="仿宋_GB2312" w:hAnsi="仿宋_GB2312" w:eastAsia="仿宋_GB2312" w:cs="仿宋_GB2312"/>
          <w:b/>
          <w:color w:val="000000"/>
          <w:szCs w:val="32"/>
        </w:rPr>
        <w:t>2021年一般公共预算支出决算数为</w:t>
      </w:r>
      <w:r>
        <w:rPr>
          <w:rFonts w:hint="eastAsia" w:ascii="仿宋_GB2312" w:hAnsi="仿宋_GB2312" w:eastAsia="仿宋_GB2312" w:cs="仿宋_GB2312"/>
          <w:b/>
          <w:color w:val="000000"/>
          <w:szCs w:val="32"/>
          <w:lang w:val="en-US" w:eastAsia="zh-CN"/>
        </w:rPr>
        <w:t>442.52万元</w:t>
      </w:r>
      <w:r>
        <w:rPr>
          <w:rFonts w:hint="eastAsia" w:ascii="仿宋_GB2312" w:hAnsi="仿宋_GB2312" w:eastAsia="仿宋_GB2312" w:cs="仿宋_GB2312"/>
          <w:color w:val="000000"/>
          <w:szCs w:val="32"/>
        </w:rPr>
        <w:t>，</w:t>
      </w:r>
      <w:r>
        <w:rPr>
          <w:rStyle w:val="15"/>
          <w:rFonts w:hint="eastAsia" w:ascii="仿宋_GB2312" w:hAnsi="仿宋_GB2312" w:eastAsia="仿宋_GB2312" w:cs="仿宋_GB2312"/>
          <w:bCs/>
          <w:color w:val="000000"/>
          <w:szCs w:val="32"/>
        </w:rPr>
        <w:t>完成预算</w:t>
      </w:r>
      <w:r>
        <w:rPr>
          <w:rStyle w:val="15"/>
          <w:rFonts w:hint="eastAsia" w:ascii="仿宋_GB2312" w:hAnsi="仿宋_GB2312" w:eastAsia="仿宋_GB2312" w:cs="仿宋_GB2312"/>
          <w:bCs/>
          <w:color w:val="000000"/>
          <w:szCs w:val="32"/>
          <w:lang w:val="en-US" w:eastAsia="zh-CN"/>
        </w:rPr>
        <w:t>100</w:t>
      </w:r>
      <w:r>
        <w:rPr>
          <w:rStyle w:val="15"/>
          <w:rFonts w:hint="eastAsia" w:ascii="仿宋_GB2312" w:hAnsi="仿宋_GB2312" w:eastAsia="仿宋_GB2312" w:cs="仿宋_GB2312"/>
          <w:bCs/>
          <w:color w:val="000000"/>
          <w:szCs w:val="32"/>
        </w:rPr>
        <w:t>%。其中：</w:t>
      </w:r>
      <w:bookmarkEnd w:id="26"/>
      <w:bookmarkEnd w:id="27"/>
      <w:bookmarkEnd w:id="28"/>
    </w:p>
    <w:p>
      <w:pPr>
        <w:spacing w:line="600" w:lineRule="exact"/>
        <w:ind w:firstLine="643" w:firstLineChars="200"/>
        <w:rPr>
          <w:rFonts w:hint="eastAsia" w:ascii="仿宋_GB2312" w:hAnsi="仿宋_GB2312" w:eastAsia="仿宋_GB2312" w:cs="仿宋_GB2312"/>
          <w:b/>
          <w:color w:val="000000"/>
          <w:szCs w:val="32"/>
        </w:rPr>
      </w:pPr>
      <w:r>
        <w:rPr>
          <w:rStyle w:val="15"/>
          <w:rFonts w:hint="eastAsia" w:ascii="仿宋_GB2312" w:hAnsi="仿宋_GB2312" w:eastAsia="仿宋_GB2312" w:cs="仿宋_GB2312"/>
          <w:bCs/>
          <w:color w:val="000000"/>
          <w:szCs w:val="32"/>
        </w:rPr>
        <w:t>1.一般公共服务（类）纪检监察事务（款）事业运行（项）:</w:t>
      </w:r>
      <w:r>
        <w:rPr>
          <w:rStyle w:val="15"/>
          <w:rFonts w:hint="eastAsia" w:ascii="仿宋_GB2312" w:hAnsi="仿宋_GB2312" w:eastAsia="仿宋_GB2312" w:cs="仿宋_GB2312"/>
          <w:b w:val="0"/>
          <w:bCs/>
          <w:color w:val="000000"/>
          <w:szCs w:val="32"/>
        </w:rPr>
        <w:t xml:space="preserve"> 支出决算为</w:t>
      </w:r>
      <w:r>
        <w:rPr>
          <w:rStyle w:val="15"/>
          <w:rFonts w:hint="eastAsia" w:ascii="仿宋_GB2312" w:hAnsi="仿宋_GB2312" w:eastAsia="仿宋_GB2312" w:cs="仿宋_GB2312"/>
          <w:b w:val="0"/>
          <w:bCs/>
          <w:color w:val="000000"/>
          <w:szCs w:val="32"/>
          <w:lang w:val="en-US" w:eastAsia="zh-CN"/>
        </w:rPr>
        <w:t>107.18</w:t>
      </w:r>
      <w:r>
        <w:rPr>
          <w:rStyle w:val="15"/>
          <w:rFonts w:hint="eastAsia" w:ascii="仿宋_GB2312" w:hAnsi="仿宋_GB2312" w:eastAsia="仿宋_GB2312" w:cs="仿宋_GB2312"/>
          <w:b w:val="0"/>
          <w:bCs/>
          <w:color w:val="000000"/>
          <w:szCs w:val="32"/>
        </w:rPr>
        <w:t>万元，完成预算</w:t>
      </w:r>
      <w:r>
        <w:rPr>
          <w:rStyle w:val="15"/>
          <w:rFonts w:hint="eastAsia" w:ascii="仿宋_GB2312" w:hAnsi="仿宋_GB2312" w:eastAsia="仿宋_GB2312" w:cs="仿宋_GB2312"/>
          <w:b w:val="0"/>
          <w:bCs/>
          <w:color w:val="000000"/>
          <w:szCs w:val="32"/>
          <w:lang w:val="en-US" w:eastAsia="zh-CN"/>
        </w:rPr>
        <w:t>100</w:t>
      </w:r>
      <w:r>
        <w:rPr>
          <w:rStyle w:val="15"/>
          <w:rFonts w:hint="eastAsia" w:ascii="仿宋_GB2312" w:hAnsi="仿宋_GB2312" w:eastAsia="仿宋_GB2312" w:cs="仿宋_GB2312"/>
          <w:b w:val="0"/>
          <w:bCs/>
          <w:color w:val="000000"/>
          <w:szCs w:val="32"/>
        </w:rPr>
        <w:t>%。</w:t>
      </w:r>
    </w:p>
    <w:p>
      <w:pPr>
        <w:spacing w:line="600" w:lineRule="exact"/>
        <w:ind w:firstLine="643" w:firstLineChars="200"/>
        <w:rPr>
          <w:rFonts w:hint="eastAsia" w:ascii="仿宋_GB2312" w:hAnsi="仿宋_GB2312" w:eastAsia="仿宋_GB2312" w:cs="仿宋_GB2312"/>
          <w:b/>
          <w:color w:val="000000"/>
          <w:szCs w:val="32"/>
        </w:rPr>
      </w:pPr>
      <w:r>
        <w:rPr>
          <w:rStyle w:val="15"/>
          <w:rFonts w:hint="eastAsia" w:ascii="仿宋_GB2312" w:hAnsi="仿宋_GB2312" w:eastAsia="仿宋_GB2312" w:cs="仿宋_GB2312"/>
          <w:bCs/>
          <w:color w:val="000000"/>
          <w:szCs w:val="32"/>
        </w:rPr>
        <w:t>2.一般公共服务（类）纪检监察事务（款）其他纪检监察事务支出（项）:</w:t>
      </w:r>
      <w:r>
        <w:rPr>
          <w:rStyle w:val="15"/>
          <w:rFonts w:hint="eastAsia" w:ascii="仿宋_GB2312" w:hAnsi="仿宋_GB2312" w:eastAsia="仿宋_GB2312" w:cs="仿宋_GB2312"/>
          <w:b w:val="0"/>
          <w:bCs/>
          <w:color w:val="000000"/>
          <w:szCs w:val="32"/>
        </w:rPr>
        <w:t xml:space="preserve"> 支出决算为</w:t>
      </w:r>
      <w:r>
        <w:rPr>
          <w:rStyle w:val="15"/>
          <w:rFonts w:hint="eastAsia" w:ascii="仿宋_GB2312" w:hAnsi="仿宋_GB2312" w:eastAsia="仿宋_GB2312" w:cs="仿宋_GB2312"/>
          <w:b w:val="0"/>
          <w:bCs/>
          <w:color w:val="000000"/>
          <w:szCs w:val="32"/>
          <w:lang w:val="en-US" w:eastAsia="zh-CN"/>
        </w:rPr>
        <w:t>299.20</w:t>
      </w:r>
      <w:r>
        <w:rPr>
          <w:rStyle w:val="15"/>
          <w:rFonts w:hint="eastAsia" w:ascii="仿宋_GB2312" w:hAnsi="仿宋_GB2312" w:eastAsia="仿宋_GB2312" w:cs="仿宋_GB2312"/>
          <w:b w:val="0"/>
          <w:bCs/>
          <w:color w:val="000000"/>
          <w:szCs w:val="32"/>
        </w:rPr>
        <w:t>万元，完成预算</w:t>
      </w:r>
      <w:r>
        <w:rPr>
          <w:rStyle w:val="15"/>
          <w:rFonts w:hint="eastAsia" w:ascii="仿宋_GB2312" w:hAnsi="仿宋_GB2312" w:eastAsia="仿宋_GB2312" w:cs="仿宋_GB2312"/>
          <w:b w:val="0"/>
          <w:bCs/>
          <w:color w:val="000000"/>
          <w:szCs w:val="32"/>
          <w:lang w:val="en-US" w:eastAsia="zh-CN"/>
        </w:rPr>
        <w:t>100</w:t>
      </w:r>
      <w:r>
        <w:rPr>
          <w:rStyle w:val="15"/>
          <w:rFonts w:hint="eastAsia" w:ascii="仿宋_GB2312" w:hAnsi="仿宋_GB2312" w:eastAsia="仿宋_GB2312" w:cs="仿宋_GB2312"/>
          <w:b w:val="0"/>
          <w:bCs/>
          <w:color w:val="000000"/>
          <w:szCs w:val="32"/>
        </w:rPr>
        <w:t>%。</w:t>
      </w:r>
    </w:p>
    <w:p>
      <w:pPr>
        <w:spacing w:line="600" w:lineRule="atLeast"/>
        <w:ind w:firstLine="643" w:firstLineChars="200"/>
        <w:rPr>
          <w:rFonts w:hint="eastAsia" w:ascii="仿宋_GB2312" w:hAnsi="仿宋_GB2312" w:eastAsia="仿宋_GB2312" w:cs="仿宋_GB2312"/>
          <w:szCs w:val="32"/>
        </w:rPr>
      </w:pPr>
      <w:r>
        <w:rPr>
          <w:rStyle w:val="15"/>
          <w:rFonts w:hint="eastAsia" w:ascii="仿宋_GB2312" w:hAnsi="仿宋_GB2312" w:eastAsia="仿宋_GB2312" w:cs="仿宋_GB2312"/>
          <w:bCs/>
          <w:color w:val="000000"/>
          <w:szCs w:val="32"/>
        </w:rPr>
        <w:t>3.社会保障和就业（类）</w:t>
      </w:r>
      <w:r>
        <w:rPr>
          <w:rFonts w:hint="eastAsia" w:ascii="仿宋_GB2312" w:hAnsi="仿宋_GB2312" w:eastAsia="仿宋_GB2312" w:cs="仿宋_GB2312"/>
          <w:szCs w:val="32"/>
        </w:rPr>
        <w:t>行政事业单位养老支出</w:t>
      </w:r>
      <w:r>
        <w:rPr>
          <w:rStyle w:val="15"/>
          <w:rFonts w:hint="eastAsia" w:ascii="仿宋_GB2312" w:hAnsi="仿宋_GB2312" w:eastAsia="仿宋_GB2312" w:cs="仿宋_GB2312"/>
          <w:bCs/>
          <w:color w:val="000000"/>
          <w:szCs w:val="32"/>
        </w:rPr>
        <w:t>（款）</w:t>
      </w:r>
    </w:p>
    <w:p>
      <w:pPr>
        <w:spacing w:line="600" w:lineRule="exact"/>
        <w:rPr>
          <w:rFonts w:hint="eastAsia" w:ascii="仿宋_GB2312" w:hAnsi="仿宋_GB2312" w:eastAsia="仿宋_GB2312" w:cs="仿宋_GB2312"/>
          <w:b/>
          <w:color w:val="000000"/>
          <w:szCs w:val="32"/>
        </w:rPr>
      </w:pPr>
      <w:r>
        <w:rPr>
          <w:rFonts w:hint="eastAsia" w:ascii="仿宋_GB2312" w:hAnsi="仿宋_GB2312" w:eastAsia="仿宋_GB2312" w:cs="仿宋_GB2312"/>
          <w:szCs w:val="32"/>
        </w:rPr>
        <w:t>机关事业单位基本养老保险缴费支出</w:t>
      </w:r>
      <w:r>
        <w:rPr>
          <w:rStyle w:val="15"/>
          <w:rFonts w:hint="eastAsia" w:ascii="仿宋_GB2312" w:hAnsi="仿宋_GB2312" w:eastAsia="仿宋_GB2312" w:cs="仿宋_GB2312"/>
          <w:bCs/>
          <w:color w:val="000000"/>
          <w:szCs w:val="32"/>
        </w:rPr>
        <w:t>（项）:</w:t>
      </w:r>
      <w:r>
        <w:rPr>
          <w:rStyle w:val="15"/>
          <w:rFonts w:hint="eastAsia" w:ascii="仿宋_GB2312" w:hAnsi="仿宋_GB2312" w:eastAsia="仿宋_GB2312" w:cs="仿宋_GB2312"/>
          <w:b w:val="0"/>
          <w:bCs/>
          <w:color w:val="000000"/>
          <w:szCs w:val="32"/>
        </w:rPr>
        <w:t xml:space="preserve"> 支出决算为</w:t>
      </w:r>
      <w:r>
        <w:rPr>
          <w:rStyle w:val="15"/>
          <w:rFonts w:hint="eastAsia" w:ascii="仿宋_GB2312" w:hAnsi="仿宋_GB2312" w:eastAsia="仿宋_GB2312" w:cs="仿宋_GB2312"/>
          <w:b w:val="0"/>
          <w:bCs/>
          <w:color w:val="000000"/>
          <w:szCs w:val="32"/>
          <w:lang w:val="en-US" w:eastAsia="zh-CN"/>
        </w:rPr>
        <w:t>12.91</w:t>
      </w:r>
      <w:r>
        <w:rPr>
          <w:rStyle w:val="15"/>
          <w:rFonts w:hint="eastAsia" w:ascii="仿宋_GB2312" w:hAnsi="仿宋_GB2312" w:eastAsia="仿宋_GB2312" w:cs="仿宋_GB2312"/>
          <w:b w:val="0"/>
          <w:bCs/>
          <w:color w:val="000000"/>
          <w:szCs w:val="32"/>
        </w:rPr>
        <w:t>万元，完成预算</w:t>
      </w:r>
      <w:r>
        <w:rPr>
          <w:rStyle w:val="15"/>
          <w:rFonts w:hint="eastAsia" w:ascii="仿宋_GB2312" w:hAnsi="仿宋_GB2312" w:eastAsia="仿宋_GB2312" w:cs="仿宋_GB2312"/>
          <w:b w:val="0"/>
          <w:bCs/>
          <w:color w:val="000000"/>
          <w:szCs w:val="32"/>
          <w:lang w:val="en-US" w:eastAsia="zh-CN"/>
        </w:rPr>
        <w:t>100</w:t>
      </w:r>
      <w:r>
        <w:rPr>
          <w:rStyle w:val="15"/>
          <w:rFonts w:hint="eastAsia" w:ascii="仿宋_GB2312" w:hAnsi="仿宋_GB2312" w:eastAsia="仿宋_GB2312" w:cs="仿宋_GB2312"/>
          <w:b w:val="0"/>
          <w:bCs/>
          <w:color w:val="000000"/>
          <w:szCs w:val="32"/>
        </w:rPr>
        <w:t>%。</w:t>
      </w:r>
    </w:p>
    <w:p>
      <w:pPr>
        <w:spacing w:line="600" w:lineRule="atLeast"/>
        <w:ind w:firstLine="643" w:firstLineChars="200"/>
        <w:rPr>
          <w:rFonts w:hint="eastAsia" w:ascii="仿宋_GB2312" w:hAnsi="仿宋_GB2312" w:eastAsia="仿宋_GB2312" w:cs="仿宋_GB2312"/>
          <w:szCs w:val="32"/>
        </w:rPr>
      </w:pPr>
      <w:r>
        <w:rPr>
          <w:rStyle w:val="15"/>
          <w:rFonts w:hint="eastAsia" w:ascii="仿宋_GB2312" w:hAnsi="仿宋_GB2312" w:eastAsia="仿宋_GB2312" w:cs="仿宋_GB2312"/>
          <w:bCs/>
          <w:color w:val="000000"/>
          <w:szCs w:val="32"/>
        </w:rPr>
        <w:t>4.社会保障和就业（类）</w:t>
      </w:r>
      <w:r>
        <w:rPr>
          <w:rFonts w:hint="eastAsia" w:ascii="仿宋_GB2312" w:hAnsi="仿宋_GB2312" w:eastAsia="仿宋_GB2312" w:cs="仿宋_GB2312"/>
          <w:szCs w:val="32"/>
        </w:rPr>
        <w:t>行政事业单位养老支出</w:t>
      </w:r>
      <w:r>
        <w:rPr>
          <w:rStyle w:val="15"/>
          <w:rFonts w:hint="eastAsia" w:ascii="仿宋_GB2312" w:hAnsi="仿宋_GB2312" w:eastAsia="仿宋_GB2312" w:cs="仿宋_GB2312"/>
          <w:bCs/>
          <w:color w:val="000000"/>
          <w:szCs w:val="32"/>
        </w:rPr>
        <w:t>（款）</w:t>
      </w:r>
    </w:p>
    <w:p>
      <w:pPr>
        <w:spacing w:line="600" w:lineRule="exact"/>
        <w:rPr>
          <w:rFonts w:hint="eastAsia" w:ascii="仿宋_GB2312" w:hAnsi="仿宋_GB2312" w:eastAsia="仿宋_GB2312" w:cs="仿宋_GB2312"/>
          <w:b/>
          <w:color w:val="000000"/>
          <w:szCs w:val="32"/>
        </w:rPr>
      </w:pPr>
      <w:r>
        <w:rPr>
          <w:rFonts w:hint="eastAsia" w:ascii="仿宋_GB2312" w:hAnsi="仿宋_GB2312" w:eastAsia="仿宋_GB2312" w:cs="仿宋_GB2312"/>
          <w:szCs w:val="32"/>
        </w:rPr>
        <w:t>机关事业单位职业年金缴费支出</w:t>
      </w:r>
      <w:r>
        <w:rPr>
          <w:rStyle w:val="15"/>
          <w:rFonts w:hint="eastAsia" w:ascii="仿宋_GB2312" w:hAnsi="仿宋_GB2312" w:eastAsia="仿宋_GB2312" w:cs="仿宋_GB2312"/>
          <w:bCs/>
          <w:color w:val="000000"/>
          <w:szCs w:val="32"/>
        </w:rPr>
        <w:t>（项）:</w:t>
      </w:r>
      <w:r>
        <w:rPr>
          <w:rStyle w:val="15"/>
          <w:rFonts w:hint="eastAsia" w:ascii="仿宋_GB2312" w:hAnsi="仿宋_GB2312" w:eastAsia="仿宋_GB2312" w:cs="仿宋_GB2312"/>
          <w:b w:val="0"/>
          <w:bCs/>
          <w:color w:val="000000"/>
          <w:szCs w:val="32"/>
        </w:rPr>
        <w:t xml:space="preserve"> 支出决算为</w:t>
      </w:r>
      <w:r>
        <w:rPr>
          <w:rStyle w:val="15"/>
          <w:rFonts w:hint="eastAsia" w:ascii="仿宋_GB2312" w:hAnsi="仿宋_GB2312" w:eastAsia="仿宋_GB2312" w:cs="仿宋_GB2312"/>
          <w:b w:val="0"/>
          <w:bCs/>
          <w:color w:val="000000"/>
          <w:szCs w:val="32"/>
          <w:lang w:val="en-US" w:eastAsia="zh-CN"/>
        </w:rPr>
        <w:t>6.45</w:t>
      </w:r>
      <w:r>
        <w:rPr>
          <w:rStyle w:val="15"/>
          <w:rFonts w:hint="eastAsia" w:ascii="仿宋_GB2312" w:hAnsi="仿宋_GB2312" w:eastAsia="仿宋_GB2312" w:cs="仿宋_GB2312"/>
          <w:b w:val="0"/>
          <w:bCs/>
          <w:color w:val="000000"/>
          <w:szCs w:val="32"/>
        </w:rPr>
        <w:t>万元，完成预算</w:t>
      </w:r>
      <w:r>
        <w:rPr>
          <w:rStyle w:val="15"/>
          <w:rFonts w:hint="eastAsia" w:ascii="仿宋_GB2312" w:hAnsi="仿宋_GB2312" w:eastAsia="仿宋_GB2312" w:cs="仿宋_GB2312"/>
          <w:b w:val="0"/>
          <w:bCs/>
          <w:color w:val="000000"/>
          <w:szCs w:val="32"/>
          <w:lang w:val="en-US" w:eastAsia="zh-CN"/>
        </w:rPr>
        <w:t>100</w:t>
      </w:r>
      <w:r>
        <w:rPr>
          <w:rStyle w:val="15"/>
          <w:rFonts w:hint="eastAsia" w:ascii="仿宋_GB2312" w:hAnsi="仿宋_GB2312" w:eastAsia="仿宋_GB2312" w:cs="仿宋_GB2312"/>
          <w:b w:val="0"/>
          <w:bCs/>
          <w:color w:val="000000"/>
          <w:szCs w:val="32"/>
        </w:rPr>
        <w:t>%。</w:t>
      </w:r>
    </w:p>
    <w:p>
      <w:pPr>
        <w:spacing w:line="600" w:lineRule="exact"/>
        <w:ind w:firstLine="643" w:firstLineChars="200"/>
        <w:rPr>
          <w:rFonts w:hint="eastAsia" w:ascii="仿宋_GB2312" w:hAnsi="仿宋_GB2312" w:eastAsia="仿宋_GB2312" w:cs="仿宋_GB2312"/>
          <w:b/>
          <w:color w:val="000000"/>
          <w:szCs w:val="32"/>
        </w:rPr>
      </w:pPr>
      <w:r>
        <w:rPr>
          <w:rStyle w:val="15"/>
          <w:rFonts w:hint="eastAsia" w:ascii="仿宋_GB2312" w:hAnsi="仿宋_GB2312" w:eastAsia="仿宋_GB2312" w:cs="仿宋_GB2312"/>
          <w:bCs/>
          <w:color w:val="000000"/>
          <w:szCs w:val="32"/>
        </w:rPr>
        <w:t>5.</w:t>
      </w:r>
      <w:r>
        <w:rPr>
          <w:rFonts w:hint="eastAsia" w:ascii="仿宋_GB2312" w:hAnsi="仿宋_GB2312" w:eastAsia="仿宋_GB2312" w:cs="仿宋_GB2312"/>
          <w:b/>
          <w:bCs/>
          <w:color w:val="000000"/>
          <w:szCs w:val="32"/>
        </w:rPr>
        <w:t>卫生健康</w:t>
      </w:r>
      <w:r>
        <w:rPr>
          <w:rStyle w:val="15"/>
          <w:rFonts w:hint="eastAsia" w:ascii="仿宋_GB2312" w:hAnsi="仿宋_GB2312" w:eastAsia="仿宋_GB2312" w:cs="仿宋_GB2312"/>
          <w:bCs/>
          <w:color w:val="000000"/>
          <w:szCs w:val="32"/>
        </w:rPr>
        <w:t>（类）行政事业单位医疗（款）行政事业单位医疗（项）:</w:t>
      </w:r>
      <w:r>
        <w:rPr>
          <w:rStyle w:val="15"/>
          <w:rFonts w:hint="eastAsia" w:ascii="仿宋_GB2312" w:hAnsi="仿宋_GB2312" w:eastAsia="仿宋_GB2312" w:cs="仿宋_GB2312"/>
          <w:b w:val="0"/>
          <w:bCs/>
          <w:color w:val="000000"/>
          <w:szCs w:val="32"/>
        </w:rPr>
        <w:t xml:space="preserve"> 支出决算为</w:t>
      </w:r>
      <w:r>
        <w:rPr>
          <w:rStyle w:val="15"/>
          <w:rFonts w:hint="eastAsia" w:ascii="仿宋_GB2312" w:hAnsi="仿宋_GB2312" w:eastAsia="仿宋_GB2312" w:cs="仿宋_GB2312"/>
          <w:b w:val="0"/>
          <w:bCs/>
          <w:color w:val="000000"/>
          <w:szCs w:val="32"/>
          <w:lang w:val="en-US" w:eastAsia="zh-CN"/>
        </w:rPr>
        <w:t>6.92</w:t>
      </w:r>
      <w:r>
        <w:rPr>
          <w:rStyle w:val="15"/>
          <w:rFonts w:hint="eastAsia" w:ascii="仿宋_GB2312" w:hAnsi="仿宋_GB2312" w:eastAsia="仿宋_GB2312" w:cs="仿宋_GB2312"/>
          <w:b w:val="0"/>
          <w:bCs/>
          <w:color w:val="000000"/>
          <w:szCs w:val="32"/>
        </w:rPr>
        <w:t>万元，完成预算</w:t>
      </w:r>
      <w:r>
        <w:rPr>
          <w:rStyle w:val="15"/>
          <w:rFonts w:hint="eastAsia" w:ascii="仿宋_GB2312" w:hAnsi="仿宋_GB2312" w:eastAsia="仿宋_GB2312" w:cs="仿宋_GB2312"/>
          <w:b w:val="0"/>
          <w:bCs/>
          <w:color w:val="000000"/>
          <w:szCs w:val="32"/>
          <w:lang w:val="en-US" w:eastAsia="zh-CN"/>
        </w:rPr>
        <w:t>100</w:t>
      </w:r>
      <w:r>
        <w:rPr>
          <w:rStyle w:val="15"/>
          <w:rFonts w:hint="eastAsia" w:ascii="仿宋_GB2312" w:hAnsi="仿宋_GB2312" w:eastAsia="仿宋_GB2312" w:cs="仿宋_GB2312"/>
          <w:b w:val="0"/>
          <w:bCs/>
          <w:color w:val="000000"/>
          <w:szCs w:val="32"/>
        </w:rPr>
        <w:t>%</w:t>
      </w:r>
      <w:bookmarkStart w:id="84" w:name="_GoBack"/>
      <w:bookmarkEnd w:id="84"/>
      <w:r>
        <w:rPr>
          <w:rStyle w:val="15"/>
          <w:rFonts w:hint="eastAsia" w:ascii="仿宋_GB2312" w:hAnsi="仿宋_GB2312" w:eastAsia="仿宋_GB2312" w:cs="仿宋_GB2312"/>
          <w:b w:val="0"/>
          <w:bCs/>
          <w:color w:val="000000"/>
          <w:szCs w:val="32"/>
        </w:rPr>
        <w:t>。</w:t>
      </w:r>
    </w:p>
    <w:p>
      <w:pPr>
        <w:spacing w:line="600" w:lineRule="exact"/>
        <w:ind w:firstLine="643" w:firstLineChars="200"/>
        <w:rPr>
          <w:rFonts w:hint="eastAsia" w:ascii="仿宋_GB2312" w:hAnsi="仿宋_GB2312" w:eastAsia="仿宋_GB2312" w:cs="仿宋_GB2312"/>
          <w:b/>
          <w:color w:val="000000"/>
          <w:szCs w:val="32"/>
        </w:rPr>
      </w:pPr>
      <w:r>
        <w:rPr>
          <w:rStyle w:val="15"/>
          <w:rFonts w:hint="eastAsia" w:ascii="仿宋_GB2312" w:hAnsi="仿宋_GB2312" w:eastAsia="仿宋_GB2312" w:cs="仿宋_GB2312"/>
          <w:bCs/>
          <w:color w:val="000000"/>
          <w:szCs w:val="32"/>
        </w:rPr>
        <w:t>6.</w:t>
      </w:r>
      <w:r>
        <w:rPr>
          <w:rFonts w:hint="eastAsia" w:ascii="仿宋_GB2312" w:hAnsi="仿宋_GB2312" w:eastAsia="仿宋_GB2312" w:cs="仿宋_GB2312"/>
          <w:b/>
          <w:color w:val="333333"/>
          <w:szCs w:val="32"/>
        </w:rPr>
        <w:t>住房保障支出（类）</w:t>
      </w:r>
      <w:r>
        <w:rPr>
          <w:rFonts w:hint="eastAsia" w:ascii="仿宋_GB2312" w:hAnsi="仿宋_GB2312" w:eastAsia="仿宋_GB2312" w:cs="仿宋_GB2312"/>
          <w:b/>
          <w:szCs w:val="32"/>
        </w:rPr>
        <w:t>住房改革支出</w:t>
      </w:r>
      <w:r>
        <w:rPr>
          <w:rFonts w:hint="eastAsia" w:ascii="仿宋_GB2312" w:hAnsi="仿宋_GB2312" w:eastAsia="仿宋_GB2312" w:cs="仿宋_GB2312"/>
          <w:b/>
          <w:color w:val="333333"/>
          <w:szCs w:val="32"/>
        </w:rPr>
        <w:t>（款）</w:t>
      </w:r>
      <w:r>
        <w:rPr>
          <w:rFonts w:hint="eastAsia" w:ascii="仿宋_GB2312" w:hAnsi="仿宋_GB2312" w:eastAsia="仿宋_GB2312" w:cs="仿宋_GB2312"/>
          <w:b/>
          <w:szCs w:val="32"/>
        </w:rPr>
        <w:t>住房公积金</w:t>
      </w:r>
      <w:r>
        <w:rPr>
          <w:rFonts w:hint="eastAsia" w:ascii="仿宋_GB2312" w:hAnsi="仿宋_GB2312" w:eastAsia="仿宋_GB2312" w:cs="仿宋_GB2312"/>
          <w:b/>
          <w:color w:val="333333"/>
          <w:szCs w:val="32"/>
        </w:rPr>
        <w:t>（项）</w:t>
      </w:r>
      <w:r>
        <w:rPr>
          <w:rStyle w:val="15"/>
          <w:rFonts w:hint="eastAsia" w:ascii="仿宋_GB2312" w:hAnsi="仿宋_GB2312" w:eastAsia="仿宋_GB2312" w:cs="仿宋_GB2312"/>
          <w:bCs/>
          <w:color w:val="000000"/>
          <w:szCs w:val="32"/>
        </w:rPr>
        <w:t>:</w:t>
      </w:r>
      <w:r>
        <w:rPr>
          <w:rStyle w:val="15"/>
          <w:rFonts w:hint="eastAsia" w:ascii="仿宋_GB2312" w:hAnsi="仿宋_GB2312" w:eastAsia="仿宋_GB2312" w:cs="仿宋_GB2312"/>
          <w:b w:val="0"/>
          <w:bCs/>
          <w:color w:val="000000"/>
          <w:szCs w:val="32"/>
        </w:rPr>
        <w:t>支出决算为</w:t>
      </w:r>
      <w:r>
        <w:rPr>
          <w:rStyle w:val="15"/>
          <w:rFonts w:hint="eastAsia" w:ascii="仿宋_GB2312" w:hAnsi="仿宋_GB2312" w:eastAsia="仿宋_GB2312" w:cs="仿宋_GB2312"/>
          <w:b w:val="0"/>
          <w:bCs/>
          <w:color w:val="000000"/>
          <w:szCs w:val="32"/>
          <w:lang w:val="en-US" w:eastAsia="zh-CN"/>
        </w:rPr>
        <w:t>9.86</w:t>
      </w:r>
      <w:r>
        <w:rPr>
          <w:rStyle w:val="15"/>
          <w:rFonts w:hint="eastAsia" w:ascii="仿宋_GB2312" w:hAnsi="仿宋_GB2312" w:eastAsia="仿宋_GB2312" w:cs="仿宋_GB2312"/>
          <w:b w:val="0"/>
          <w:bCs/>
          <w:color w:val="000000"/>
          <w:szCs w:val="32"/>
        </w:rPr>
        <w:t>万元，完成预算</w:t>
      </w:r>
      <w:r>
        <w:rPr>
          <w:rStyle w:val="15"/>
          <w:rFonts w:hint="eastAsia" w:ascii="仿宋_GB2312" w:hAnsi="仿宋_GB2312" w:eastAsia="仿宋_GB2312" w:cs="仿宋_GB2312"/>
          <w:b w:val="0"/>
          <w:bCs/>
          <w:color w:val="000000"/>
          <w:szCs w:val="32"/>
          <w:lang w:val="en-US" w:eastAsia="zh-CN"/>
        </w:rPr>
        <w:t>100</w:t>
      </w:r>
      <w:r>
        <w:rPr>
          <w:rStyle w:val="15"/>
          <w:rFonts w:hint="eastAsia" w:ascii="仿宋_GB2312" w:hAnsi="仿宋_GB2312" w:eastAsia="仿宋_GB2312" w:cs="仿宋_GB2312"/>
          <w:b w:val="0"/>
          <w:bCs/>
          <w:color w:val="000000"/>
          <w:szCs w:val="32"/>
        </w:rPr>
        <w:t>%。</w:t>
      </w:r>
    </w:p>
    <w:p>
      <w:pPr>
        <w:tabs>
          <w:tab w:val="right" w:pos="8306"/>
        </w:tabs>
        <w:spacing w:line="600" w:lineRule="exact"/>
        <w:ind w:firstLine="640"/>
        <w:outlineLvl w:val="1"/>
        <w:rPr>
          <w:rStyle w:val="18"/>
          <w:rFonts w:hint="eastAsia" w:ascii="仿宋_GB2312" w:hAnsi="仿宋_GB2312" w:eastAsia="仿宋_GB2312" w:cs="仿宋_GB2312"/>
        </w:rPr>
      </w:pPr>
      <w:bookmarkStart w:id="29" w:name="_Toc16675"/>
      <w:bookmarkStart w:id="30" w:name="_Toc15396608"/>
      <w:bookmarkStart w:id="31" w:name="_Toc15377214"/>
      <w:r>
        <w:rPr>
          <w:rFonts w:hint="eastAsia" w:ascii="仿宋_GB2312" w:hAnsi="仿宋_GB2312" w:eastAsia="仿宋_GB2312" w:cs="仿宋_GB2312"/>
          <w:color w:val="000000"/>
          <w:szCs w:val="32"/>
        </w:rPr>
        <w:t>六</w:t>
      </w:r>
      <w:r>
        <w:rPr>
          <w:rFonts w:hint="eastAsia" w:ascii="仿宋_GB2312" w:hAnsi="仿宋_GB2312" w:eastAsia="仿宋_GB2312" w:cs="仿宋_GB2312"/>
          <w:b/>
          <w:color w:val="000000"/>
          <w:szCs w:val="32"/>
        </w:rPr>
        <w:t>、一</w:t>
      </w:r>
      <w:r>
        <w:rPr>
          <w:rStyle w:val="18"/>
          <w:rFonts w:hint="eastAsia" w:ascii="仿宋_GB2312" w:hAnsi="仿宋_GB2312" w:eastAsia="仿宋_GB2312" w:cs="仿宋_GB2312"/>
          <w:b w:val="0"/>
        </w:rPr>
        <w:t>般公共预算财政拨款基本支出决算情况说明</w:t>
      </w:r>
      <w:bookmarkEnd w:id="29"/>
      <w:bookmarkEnd w:id="30"/>
      <w:bookmarkEnd w:id="31"/>
      <w:r>
        <w:rPr>
          <w:rStyle w:val="18"/>
          <w:rFonts w:hint="eastAsia" w:ascii="仿宋_GB2312" w:hAnsi="仿宋_GB2312" w:eastAsia="仿宋_GB2312" w:cs="仿宋_GB2312"/>
          <w:b w:val="0"/>
        </w:rPr>
        <w:tab/>
      </w:r>
    </w:p>
    <w:p>
      <w:pPr>
        <w:spacing w:line="600" w:lineRule="exact"/>
        <w:ind w:firstLine="645"/>
        <w:rPr>
          <w:rFonts w:hint="eastAsia" w:ascii="仿宋_GB2312" w:hAnsi="仿宋_GB2312" w:eastAsia="仿宋_GB2312" w:cs="仿宋_GB2312"/>
          <w:color w:val="000000"/>
          <w:szCs w:val="32"/>
          <w:lang w:eastAsia="zh-CN"/>
        </w:rPr>
      </w:pPr>
      <w:r>
        <w:rPr>
          <w:rFonts w:hint="eastAsia" w:ascii="仿宋_GB2312" w:hAnsi="仿宋_GB2312" w:eastAsia="仿宋_GB2312" w:cs="仿宋_GB2312"/>
          <w:color w:val="000000"/>
          <w:szCs w:val="32"/>
        </w:rPr>
        <w:t>2021年一般公共预算财政拨款基本支出</w:t>
      </w:r>
      <w:r>
        <w:rPr>
          <w:rFonts w:hint="eastAsia" w:ascii="仿宋_GB2312" w:hAnsi="仿宋_GB2312" w:eastAsia="仿宋_GB2312" w:cs="仿宋_GB2312"/>
          <w:color w:val="000000"/>
          <w:szCs w:val="32"/>
          <w:lang w:val="en-US" w:eastAsia="zh-CN"/>
        </w:rPr>
        <w:t>143.32</w:t>
      </w:r>
      <w:r>
        <w:rPr>
          <w:rFonts w:hint="eastAsia" w:ascii="仿宋_GB2312" w:hAnsi="仿宋_GB2312" w:eastAsia="仿宋_GB2312" w:cs="仿宋_GB2312"/>
          <w:color w:val="000000"/>
          <w:szCs w:val="32"/>
        </w:rPr>
        <w:t>万元，其中：人员经费</w:t>
      </w:r>
      <w:r>
        <w:rPr>
          <w:rFonts w:hint="eastAsia" w:ascii="仿宋_GB2312" w:hAnsi="仿宋_GB2312" w:eastAsia="仿宋_GB2312" w:cs="仿宋_GB2312"/>
          <w:color w:val="000000"/>
          <w:szCs w:val="32"/>
          <w:lang w:val="en-US" w:eastAsia="zh-CN"/>
        </w:rPr>
        <w:t>122.33</w:t>
      </w:r>
      <w:r>
        <w:rPr>
          <w:rFonts w:hint="eastAsia" w:ascii="仿宋_GB2312" w:hAnsi="仿宋_GB2312" w:eastAsia="仿宋_GB2312" w:cs="仿宋_GB2312"/>
          <w:color w:val="000000"/>
          <w:szCs w:val="32"/>
        </w:rPr>
        <w:t>万元，主要包括：基本工资、津贴补贴、绩效工资、机关事业单位基本养老保险缴费、职业年金缴费、</w:t>
      </w:r>
      <w:r>
        <w:rPr>
          <w:rFonts w:hint="eastAsia" w:ascii="仿宋_GB2312" w:hAnsi="仿宋_GB2312" w:eastAsia="仿宋_GB2312" w:cs="仿宋_GB2312"/>
          <w:color w:val="000000"/>
          <w:szCs w:val="32"/>
          <w:lang w:eastAsia="zh-CN"/>
        </w:rPr>
        <w:t>职工基本医疗保险缴费、</w:t>
      </w:r>
      <w:r>
        <w:rPr>
          <w:rFonts w:hint="eastAsia" w:ascii="仿宋_GB2312" w:hAnsi="仿宋_GB2312" w:eastAsia="仿宋_GB2312" w:cs="仿宋_GB2312"/>
          <w:color w:val="000000"/>
          <w:szCs w:val="32"/>
        </w:rPr>
        <w:t>其他社会保障缴费、其他工资福利支出、住房公积金等。</w:t>
      </w:r>
    </w:p>
    <w:p>
      <w:pPr>
        <w:spacing w:line="600" w:lineRule="exact"/>
        <w:ind w:firstLine="645"/>
        <w:rPr>
          <w:rFonts w:hint="eastAsia" w:ascii="仿宋_GB2312" w:hAnsi="仿宋_GB2312" w:eastAsia="仿宋_GB2312" w:cs="仿宋_GB2312"/>
          <w:b/>
          <w:color w:val="FF0000"/>
          <w:szCs w:val="32"/>
        </w:rPr>
      </w:pPr>
      <w:r>
        <w:rPr>
          <w:rFonts w:hint="eastAsia" w:ascii="仿宋_GB2312" w:hAnsi="仿宋_GB2312" w:eastAsia="仿宋_GB2312" w:cs="仿宋_GB2312"/>
          <w:color w:val="000000"/>
          <w:szCs w:val="32"/>
        </w:rPr>
        <w:t>日常公用经费</w:t>
      </w:r>
      <w:r>
        <w:rPr>
          <w:rFonts w:hint="eastAsia" w:ascii="仿宋_GB2312" w:hAnsi="仿宋_GB2312" w:eastAsia="仿宋_GB2312" w:cs="仿宋_GB2312"/>
          <w:color w:val="000000"/>
          <w:szCs w:val="32"/>
          <w:lang w:val="en-US" w:eastAsia="zh-CN"/>
        </w:rPr>
        <w:t>20.99</w:t>
      </w:r>
      <w:r>
        <w:rPr>
          <w:rFonts w:hint="eastAsia" w:ascii="仿宋_GB2312" w:hAnsi="仿宋_GB2312" w:eastAsia="仿宋_GB2312" w:cs="仿宋_GB2312"/>
          <w:color w:val="000000"/>
          <w:szCs w:val="32"/>
        </w:rPr>
        <w:t>万元，主要包括：办公费、手续费、水费、邮电费、物业管理费、差旅费、维修（护）费、工会经费、公务用车运行维护费、其他商品和服务支出等。</w:t>
      </w:r>
    </w:p>
    <w:p>
      <w:pPr>
        <w:spacing w:line="600" w:lineRule="exact"/>
        <w:ind w:firstLine="640"/>
        <w:outlineLvl w:val="1"/>
        <w:rPr>
          <w:rStyle w:val="18"/>
          <w:rFonts w:hint="eastAsia" w:ascii="仿宋_GB2312" w:hAnsi="仿宋_GB2312" w:eastAsia="仿宋_GB2312" w:cs="仿宋_GB2312"/>
          <w:b w:val="0"/>
        </w:rPr>
      </w:pPr>
      <w:bookmarkStart w:id="32" w:name="_Toc15396609"/>
      <w:bookmarkStart w:id="33" w:name="_Toc19737"/>
      <w:bookmarkStart w:id="34" w:name="_Toc15377215"/>
      <w:r>
        <w:rPr>
          <w:rFonts w:hint="eastAsia" w:ascii="仿宋_GB2312" w:hAnsi="仿宋_GB2312" w:eastAsia="仿宋_GB2312" w:cs="仿宋_GB2312"/>
          <w:color w:val="000000"/>
          <w:szCs w:val="32"/>
        </w:rPr>
        <w:t>七、</w:t>
      </w:r>
      <w:r>
        <w:rPr>
          <w:rStyle w:val="18"/>
          <w:rFonts w:hint="eastAsia" w:ascii="仿宋_GB2312" w:hAnsi="仿宋_GB2312" w:eastAsia="仿宋_GB2312" w:cs="仿宋_GB2312"/>
        </w:rPr>
        <w:t>“</w:t>
      </w:r>
      <w:r>
        <w:rPr>
          <w:rStyle w:val="18"/>
          <w:rFonts w:hint="eastAsia" w:ascii="仿宋_GB2312" w:hAnsi="仿宋_GB2312" w:eastAsia="仿宋_GB2312" w:cs="仿宋_GB2312"/>
          <w:b w:val="0"/>
        </w:rPr>
        <w:t>三公”经费财政拨款支出决算情况说明</w:t>
      </w:r>
      <w:bookmarkEnd w:id="32"/>
      <w:bookmarkEnd w:id="33"/>
      <w:bookmarkEnd w:id="34"/>
    </w:p>
    <w:p>
      <w:pPr>
        <w:spacing w:line="600" w:lineRule="exact"/>
        <w:ind w:firstLine="640"/>
        <w:outlineLvl w:val="2"/>
        <w:rPr>
          <w:rFonts w:hint="eastAsia" w:ascii="仿宋_GB2312" w:hAnsi="仿宋_GB2312" w:eastAsia="仿宋_GB2312" w:cs="仿宋_GB2312"/>
          <w:b/>
          <w:color w:val="000000"/>
          <w:szCs w:val="32"/>
        </w:rPr>
      </w:pPr>
      <w:bookmarkStart w:id="35" w:name="_Toc15377216"/>
      <w:r>
        <w:rPr>
          <w:rFonts w:hint="eastAsia" w:ascii="仿宋_GB2312" w:hAnsi="仿宋_GB2312" w:eastAsia="仿宋_GB2312" w:cs="仿宋_GB2312"/>
          <w:b/>
          <w:color w:val="000000"/>
          <w:szCs w:val="32"/>
        </w:rPr>
        <w:t>（一）“三公”经费财政拨款支出决算总体情况说明</w:t>
      </w:r>
      <w:bookmarkEnd w:id="35"/>
    </w:p>
    <w:p>
      <w:pPr>
        <w:spacing w:line="60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2021年“三公”经费财政拨款支出决算为</w:t>
      </w:r>
      <w:r>
        <w:rPr>
          <w:rFonts w:hint="eastAsia" w:ascii="仿宋_GB2312" w:hAnsi="仿宋_GB2312" w:eastAsia="仿宋_GB2312" w:cs="仿宋_GB2312"/>
          <w:color w:val="000000"/>
          <w:szCs w:val="32"/>
          <w:lang w:val="en-US" w:eastAsia="zh-CN"/>
        </w:rPr>
        <w:t>1.35</w:t>
      </w:r>
      <w:r>
        <w:rPr>
          <w:rFonts w:hint="eastAsia" w:ascii="仿宋_GB2312" w:hAnsi="仿宋_GB2312" w:eastAsia="仿宋_GB2312" w:cs="仿宋_GB2312"/>
          <w:color w:val="000000"/>
          <w:szCs w:val="32"/>
        </w:rPr>
        <w:t>万元，完成预算</w:t>
      </w:r>
      <w:r>
        <w:rPr>
          <w:rFonts w:hint="eastAsia" w:ascii="仿宋_GB2312" w:hAnsi="仿宋_GB2312" w:eastAsia="仿宋_GB2312" w:cs="仿宋_GB2312"/>
          <w:color w:val="000000"/>
          <w:szCs w:val="32"/>
          <w:lang w:val="en-US" w:eastAsia="zh-CN"/>
        </w:rPr>
        <w:t>67.5</w:t>
      </w:r>
      <w:r>
        <w:rPr>
          <w:rFonts w:hint="eastAsia" w:ascii="仿宋_GB2312" w:hAnsi="仿宋_GB2312" w:eastAsia="仿宋_GB2312" w:cs="仿宋_GB2312"/>
          <w:color w:val="000000"/>
          <w:szCs w:val="32"/>
        </w:rPr>
        <w:t>%，决算数</w:t>
      </w:r>
      <w:r>
        <w:rPr>
          <w:rFonts w:hint="eastAsia" w:ascii="仿宋_GB2312" w:hAnsi="仿宋_GB2312" w:eastAsia="仿宋_GB2312" w:cs="仿宋_GB2312"/>
          <w:color w:val="000000"/>
          <w:szCs w:val="32"/>
          <w:lang w:eastAsia="zh-CN"/>
        </w:rPr>
        <w:t>小于</w:t>
      </w:r>
      <w:r>
        <w:rPr>
          <w:rFonts w:hint="eastAsia" w:ascii="仿宋_GB2312" w:hAnsi="仿宋_GB2312" w:eastAsia="仿宋_GB2312" w:cs="仿宋_GB2312"/>
          <w:color w:val="000000"/>
          <w:szCs w:val="32"/>
        </w:rPr>
        <w:t>预算数</w:t>
      </w:r>
      <w:r>
        <w:rPr>
          <w:rFonts w:hint="eastAsia" w:ascii="仿宋_GB2312" w:hAnsi="仿宋_GB2312" w:eastAsia="仿宋_GB2312" w:cs="仿宋_GB2312"/>
          <w:color w:val="000000"/>
          <w:szCs w:val="32"/>
          <w:lang w:eastAsia="zh-CN"/>
        </w:rPr>
        <w:t>的主要原因是</w:t>
      </w:r>
      <w:r>
        <w:rPr>
          <w:rFonts w:hint="eastAsia" w:ascii="仿宋_GB2312" w:hAnsi="仿宋_GB2312" w:eastAsia="仿宋_GB2312" w:cs="仿宋_GB2312"/>
          <w:color w:val="000000"/>
          <w:szCs w:val="32"/>
        </w:rPr>
        <w:t>车辆使用年限较长，车况较差，</w:t>
      </w:r>
      <w:r>
        <w:rPr>
          <w:rFonts w:hint="eastAsia" w:ascii="仿宋_GB2312" w:hAnsi="仿宋_GB2312" w:eastAsia="仿宋_GB2312" w:cs="仿宋_GB2312"/>
          <w:color w:val="000000"/>
          <w:szCs w:val="32"/>
          <w:lang w:eastAsia="zh-CN"/>
        </w:rPr>
        <w:t>使用频率少</w:t>
      </w:r>
      <w:r>
        <w:rPr>
          <w:rFonts w:hint="eastAsia" w:ascii="仿宋_GB2312" w:hAnsi="仿宋_GB2312" w:eastAsia="仿宋_GB2312" w:cs="仿宋_GB2312"/>
          <w:color w:val="000000"/>
          <w:szCs w:val="32"/>
        </w:rPr>
        <w:t>。</w:t>
      </w:r>
    </w:p>
    <w:p>
      <w:pPr>
        <w:spacing w:line="600" w:lineRule="exact"/>
        <w:ind w:firstLine="640"/>
        <w:outlineLvl w:val="2"/>
        <w:rPr>
          <w:rFonts w:hint="eastAsia" w:ascii="仿宋_GB2312" w:hAnsi="仿宋_GB2312" w:eastAsia="仿宋_GB2312" w:cs="仿宋_GB2312"/>
          <w:b/>
          <w:color w:val="000000"/>
          <w:szCs w:val="32"/>
        </w:rPr>
      </w:pPr>
      <w:bookmarkStart w:id="36" w:name="_Toc15377217"/>
      <w:r>
        <w:rPr>
          <w:rFonts w:hint="eastAsia" w:ascii="仿宋_GB2312" w:hAnsi="仿宋_GB2312" w:eastAsia="仿宋_GB2312" w:cs="仿宋_GB2312"/>
          <w:b/>
          <w:color w:val="000000"/>
          <w:szCs w:val="32"/>
        </w:rPr>
        <w:t>（二）“三公”经费财政拨款支出决算具体情况说明</w:t>
      </w:r>
      <w:bookmarkEnd w:id="36"/>
    </w:p>
    <w:p>
      <w:pPr>
        <w:spacing w:line="60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2021年“三公”经费财政拨款支出决算中，因公出国（境）费支出决算</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%；公务用车购置及运行维护费支出决算</w:t>
      </w:r>
      <w:r>
        <w:rPr>
          <w:rFonts w:hint="eastAsia" w:ascii="仿宋_GB2312" w:hAnsi="仿宋_GB2312" w:eastAsia="仿宋_GB2312" w:cs="仿宋_GB2312"/>
          <w:color w:val="000000"/>
          <w:szCs w:val="32"/>
          <w:lang w:val="en-US" w:eastAsia="zh-CN"/>
        </w:rPr>
        <w:t>1.35</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100</w:t>
      </w:r>
      <w:r>
        <w:rPr>
          <w:rFonts w:hint="eastAsia" w:ascii="仿宋_GB2312" w:hAnsi="仿宋_GB2312" w:eastAsia="仿宋_GB2312" w:cs="仿宋_GB2312"/>
          <w:color w:val="000000"/>
          <w:szCs w:val="32"/>
        </w:rPr>
        <w:t>%；公务接待费支出决算</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%。具体情况如下：</w:t>
      </w:r>
    </w:p>
    <w:p>
      <w:pPr>
        <w:spacing w:line="60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（图7：“三公”经费财政拨款支出结构）（饼状图）</w:t>
      </w:r>
    </w:p>
    <w:p>
      <w:pPr>
        <w:pStyle w:val="7"/>
        <w:rPr>
          <w:rFonts w:hint="eastAsia" w:ascii="仿宋_GB2312" w:hAnsi="仿宋_GB2312" w:eastAsia="仿宋_GB2312" w:cs="仿宋_GB2312"/>
        </w:rPr>
      </w:pPr>
      <w:r>
        <w:rPr>
          <w:rFonts w:hint="eastAsia" w:ascii="仿宋_GB2312" w:hAnsi="仿宋_GB2312" w:eastAsia="仿宋_GB2312" w:cs="仿宋_GB2312"/>
          <w:sz w:val="32"/>
          <w:szCs w:val="32"/>
        </w:rPr>
        <w:drawing>
          <wp:anchor distT="0" distB="0" distL="114300" distR="114300" simplePos="0" relativeHeight="251661312" behindDoc="1" locked="0" layoutInCell="1" allowOverlap="1">
            <wp:simplePos x="0" y="0"/>
            <wp:positionH relativeFrom="column">
              <wp:posOffset>807720</wp:posOffset>
            </wp:positionH>
            <wp:positionV relativeFrom="paragraph">
              <wp:posOffset>53975</wp:posOffset>
            </wp:positionV>
            <wp:extent cx="3876675" cy="2207895"/>
            <wp:effectExtent l="0" t="0" r="0" b="0"/>
            <wp:wrapThrough wrapText="bothSides">
              <wp:wrapPolygon>
                <wp:start x="0" y="0"/>
                <wp:lineTo x="0" y="21432"/>
                <wp:lineTo x="21547" y="21432"/>
                <wp:lineTo x="21547" y="0"/>
                <wp:lineTo x="0" y="0"/>
              </wp:wrapPolygon>
            </wp:wrapThrough>
            <wp:docPr id="20" name="图片 4" descr="BP_H{9V$]60VVAC]2D6GU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BP_H{9V$]60VVAC]2D6GU0A"/>
                    <pic:cNvPicPr>
                      <a:picLocks noChangeAspect="1"/>
                    </pic:cNvPicPr>
                  </pic:nvPicPr>
                  <pic:blipFill>
                    <a:blip r:embed="rId11"/>
                    <a:stretch>
                      <a:fillRect/>
                    </a:stretch>
                  </pic:blipFill>
                  <pic:spPr>
                    <a:xfrm>
                      <a:off x="0" y="0"/>
                      <a:ext cx="3876675" cy="2207895"/>
                    </a:xfrm>
                    <a:prstGeom prst="rect">
                      <a:avLst/>
                    </a:prstGeom>
                    <a:noFill/>
                    <a:ln>
                      <a:noFill/>
                    </a:ln>
                  </pic:spPr>
                </pic:pic>
              </a:graphicData>
            </a:graphic>
          </wp:anchor>
        </w:drawing>
      </w:r>
    </w:p>
    <w:p>
      <w:pPr>
        <w:pStyle w:val="7"/>
        <w:rPr>
          <w:rFonts w:hint="eastAsia" w:ascii="仿宋_GB2312" w:hAnsi="仿宋_GB2312" w:eastAsia="仿宋_GB2312" w:cs="仿宋_GB2312"/>
        </w:rPr>
      </w:pPr>
    </w:p>
    <w:p>
      <w:pPr>
        <w:pStyle w:val="7"/>
        <w:rPr>
          <w:rFonts w:hint="eastAsia" w:ascii="仿宋_GB2312" w:hAnsi="仿宋_GB2312" w:eastAsia="仿宋_GB2312" w:cs="仿宋_GB2312"/>
        </w:rPr>
      </w:pPr>
    </w:p>
    <w:p>
      <w:pPr>
        <w:pStyle w:val="7"/>
        <w:adjustRightInd w:val="0"/>
        <w:snapToGrid w:val="0"/>
        <w:spacing w:line="580" w:lineRule="exact"/>
        <w:ind w:left="-304" w:leftChars="-95" w:firstLine="617" w:firstLineChars="193"/>
        <w:rPr>
          <w:rFonts w:hint="eastAsia" w:ascii="仿宋_GB2312" w:hAnsi="仿宋_GB2312" w:eastAsia="仿宋_GB2312" w:cs="仿宋_GB2312"/>
          <w:sz w:val="32"/>
          <w:szCs w:val="32"/>
        </w:rPr>
      </w:pPr>
    </w:p>
    <w:p>
      <w:pPr>
        <w:pStyle w:val="7"/>
        <w:adjustRightInd w:val="0"/>
        <w:snapToGrid w:val="0"/>
        <w:spacing w:line="580" w:lineRule="exact"/>
        <w:ind w:firstLine="419" w:firstLineChars="131"/>
        <w:rPr>
          <w:rFonts w:hint="eastAsia" w:ascii="仿宋_GB2312" w:hAnsi="仿宋_GB2312" w:eastAsia="仿宋_GB2312" w:cs="仿宋_GB2312"/>
          <w:sz w:val="32"/>
          <w:szCs w:val="32"/>
        </w:rPr>
      </w:pPr>
    </w:p>
    <w:p>
      <w:pPr>
        <w:pStyle w:val="7"/>
        <w:adjustRightInd w:val="0"/>
        <w:snapToGrid w:val="0"/>
        <w:spacing w:line="580" w:lineRule="exact"/>
        <w:ind w:firstLine="419" w:firstLineChars="131"/>
        <w:rPr>
          <w:rFonts w:hint="eastAsia" w:ascii="仿宋_GB2312" w:hAnsi="仿宋_GB2312" w:eastAsia="仿宋_GB2312" w:cs="仿宋_GB2312"/>
        </w:rPr>
      </w:pPr>
      <w:r>
        <w:rPr>
          <w:rFonts w:hint="eastAsia" w:ascii="仿宋_GB2312" w:hAnsi="仿宋_GB2312" w:eastAsia="仿宋_GB2312" w:cs="仿宋_GB2312"/>
          <w:sz w:val="32"/>
          <w:szCs w:val="32"/>
        </w:rPr>
        <w:tab/>
      </w:r>
    </w:p>
    <w:p>
      <w:pPr>
        <w:pStyle w:val="7"/>
        <w:rPr>
          <w:rFonts w:hint="eastAsia" w:ascii="仿宋_GB2312" w:hAnsi="仿宋_GB2312" w:eastAsia="仿宋_GB2312" w:cs="仿宋_GB2312"/>
        </w:rPr>
      </w:pPr>
    </w:p>
    <w:p>
      <w:pPr>
        <w:pStyle w:val="7"/>
        <w:rPr>
          <w:rFonts w:hint="eastAsia" w:ascii="仿宋_GB2312" w:hAnsi="仿宋_GB2312" w:eastAsia="仿宋_GB2312" w:cs="仿宋_GB2312"/>
        </w:rPr>
      </w:pPr>
    </w:p>
    <w:p>
      <w:pPr>
        <w:spacing w:line="600" w:lineRule="exact"/>
        <w:ind w:firstLine="640"/>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1.因公出国（境）经费支出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r>
        <w:rPr>
          <w:rStyle w:val="15"/>
          <w:rFonts w:hint="eastAsia" w:ascii="仿宋_GB2312" w:hAnsi="仿宋_GB2312" w:eastAsia="仿宋_GB2312" w:cs="仿宋_GB2312"/>
          <w:b w:val="0"/>
          <w:bCs/>
          <w:color w:val="000000"/>
          <w:szCs w:val="32"/>
        </w:rPr>
        <w:t>完成预算</w:t>
      </w:r>
      <w:r>
        <w:rPr>
          <w:rStyle w:val="15"/>
          <w:rFonts w:hint="eastAsia" w:ascii="仿宋_GB2312" w:hAnsi="仿宋_GB2312" w:eastAsia="仿宋_GB2312" w:cs="仿宋_GB2312"/>
          <w:b w:val="0"/>
          <w:bCs/>
          <w:color w:val="000000"/>
          <w:szCs w:val="32"/>
          <w:lang w:val="en-US" w:eastAsia="zh-CN"/>
        </w:rPr>
        <w:t>0</w:t>
      </w:r>
      <w:r>
        <w:rPr>
          <w:rStyle w:val="15"/>
          <w:rFonts w:hint="eastAsia" w:ascii="仿宋_GB2312" w:hAnsi="仿宋_GB2312" w:eastAsia="仿宋_GB2312" w:cs="仿宋_GB2312"/>
          <w:b w:val="0"/>
          <w:bCs/>
          <w:color w:val="000000"/>
          <w:szCs w:val="32"/>
        </w:rPr>
        <w:t>%。</w:t>
      </w:r>
      <w:r>
        <w:rPr>
          <w:rFonts w:hint="eastAsia" w:ascii="仿宋_GB2312" w:hAnsi="仿宋_GB2312" w:eastAsia="仿宋_GB2312" w:cs="仿宋_GB2312"/>
          <w:color w:val="000000"/>
          <w:szCs w:val="32"/>
        </w:rPr>
        <w:t>全年安排因公出国（境）团组</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次，出国（境）</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人。因公出国（境）支出决算比2020年</w:t>
      </w:r>
      <w:r>
        <w:rPr>
          <w:rFonts w:hint="eastAsia" w:ascii="仿宋_GB2312" w:hAnsi="仿宋_GB2312" w:eastAsia="仿宋_GB2312" w:cs="仿宋_GB2312"/>
          <w:color w:val="000000"/>
          <w:szCs w:val="32"/>
          <w:lang w:eastAsia="zh-CN"/>
        </w:rPr>
        <w:t>持平</w:t>
      </w:r>
      <w:r>
        <w:rPr>
          <w:rFonts w:hint="eastAsia" w:ascii="仿宋_GB2312" w:hAnsi="仿宋_GB2312" w:eastAsia="仿宋_GB2312" w:cs="仿宋_GB2312"/>
          <w:sz w:val="32"/>
          <w:szCs w:val="32"/>
        </w:rPr>
        <w:t>。</w:t>
      </w:r>
    </w:p>
    <w:p>
      <w:pPr>
        <w:spacing w:line="600" w:lineRule="exact"/>
        <w:ind w:firstLine="640"/>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2.公务用车购置及运行维护费支出</w:t>
      </w:r>
      <w:r>
        <w:rPr>
          <w:rFonts w:hint="eastAsia" w:ascii="仿宋_GB2312" w:hAnsi="仿宋_GB2312" w:eastAsia="仿宋_GB2312" w:cs="仿宋_GB2312"/>
          <w:color w:val="000000"/>
          <w:szCs w:val="32"/>
          <w:lang w:val="en-US" w:eastAsia="zh-CN"/>
        </w:rPr>
        <w:t>1.35</w:t>
      </w:r>
      <w:r>
        <w:rPr>
          <w:rFonts w:hint="eastAsia" w:ascii="仿宋_GB2312" w:hAnsi="仿宋_GB2312" w:eastAsia="仿宋_GB2312" w:cs="仿宋_GB2312"/>
          <w:color w:val="000000"/>
          <w:szCs w:val="32"/>
        </w:rPr>
        <w:t>万元,</w:t>
      </w:r>
      <w:r>
        <w:rPr>
          <w:rStyle w:val="15"/>
          <w:rFonts w:hint="eastAsia" w:ascii="仿宋_GB2312" w:hAnsi="仿宋_GB2312" w:eastAsia="仿宋_GB2312" w:cs="仿宋_GB2312"/>
          <w:b w:val="0"/>
          <w:bCs/>
          <w:color w:val="000000"/>
          <w:szCs w:val="32"/>
        </w:rPr>
        <w:t>完成预算</w:t>
      </w:r>
      <w:r>
        <w:rPr>
          <w:rStyle w:val="15"/>
          <w:rFonts w:hint="eastAsia" w:ascii="仿宋_GB2312" w:hAnsi="仿宋_GB2312" w:eastAsia="仿宋_GB2312" w:cs="仿宋_GB2312"/>
          <w:b w:val="0"/>
          <w:bCs/>
          <w:color w:val="000000"/>
          <w:szCs w:val="32"/>
          <w:lang w:val="en-US" w:eastAsia="zh-CN"/>
        </w:rPr>
        <w:t>67.5</w:t>
      </w:r>
      <w:r>
        <w:rPr>
          <w:rStyle w:val="15"/>
          <w:rFonts w:hint="eastAsia" w:ascii="仿宋_GB2312" w:hAnsi="仿宋_GB2312" w:eastAsia="仿宋_GB2312" w:cs="仿宋_GB2312"/>
          <w:b w:val="0"/>
          <w:bCs/>
          <w:color w:val="000000"/>
          <w:szCs w:val="32"/>
        </w:rPr>
        <w:t>%。</w:t>
      </w:r>
      <w:r>
        <w:rPr>
          <w:rFonts w:hint="eastAsia" w:ascii="仿宋_GB2312" w:hAnsi="仿宋_GB2312" w:eastAsia="仿宋_GB2312" w:cs="仿宋_GB2312"/>
          <w:color w:val="000000"/>
          <w:szCs w:val="32"/>
        </w:rPr>
        <w:t>公务用车购置及运行维护费支出决算比2020年增加</w:t>
      </w:r>
      <w:r>
        <w:rPr>
          <w:rFonts w:hint="eastAsia" w:ascii="仿宋_GB2312" w:hAnsi="仿宋_GB2312" w:eastAsia="仿宋_GB2312" w:cs="仿宋_GB2312"/>
          <w:color w:val="000000"/>
          <w:szCs w:val="32"/>
          <w:lang w:val="en-US" w:eastAsia="zh-CN"/>
        </w:rPr>
        <w:t>1.35</w:t>
      </w:r>
      <w:r>
        <w:rPr>
          <w:rFonts w:hint="eastAsia" w:ascii="仿宋_GB2312" w:hAnsi="仿宋_GB2312" w:eastAsia="仿宋_GB2312" w:cs="仿宋_GB2312"/>
          <w:color w:val="000000"/>
          <w:szCs w:val="32"/>
        </w:rPr>
        <w:t>万元，增长</w:t>
      </w:r>
      <w:r>
        <w:rPr>
          <w:rFonts w:hint="eastAsia" w:ascii="仿宋_GB2312" w:hAnsi="仿宋_GB2312" w:eastAsia="仿宋_GB2312" w:cs="仿宋_GB2312"/>
          <w:color w:val="000000"/>
          <w:szCs w:val="32"/>
          <w:lang w:val="en-US" w:eastAsia="zh-CN"/>
        </w:rPr>
        <w:t>100</w:t>
      </w:r>
      <w:r>
        <w:rPr>
          <w:rFonts w:hint="eastAsia" w:ascii="仿宋_GB2312" w:hAnsi="仿宋_GB2312" w:eastAsia="仿宋_GB2312" w:cs="仿宋_GB2312"/>
          <w:color w:val="000000"/>
          <w:szCs w:val="32"/>
        </w:rPr>
        <w:t>%。主要原因是</w:t>
      </w:r>
      <w:r>
        <w:rPr>
          <w:rFonts w:hint="eastAsia" w:ascii="仿宋_GB2312" w:hAnsi="仿宋_GB2312" w:eastAsia="仿宋_GB2312" w:cs="仿宋_GB2312"/>
          <w:color w:val="000000"/>
          <w:szCs w:val="32"/>
          <w:lang w:val="en-US" w:eastAsia="zh-CN"/>
        </w:rPr>
        <w:t>2020年由于疫情原因，中心封闭管理，加之车辆车况欠佳，未使用该车辆</w:t>
      </w:r>
      <w:r>
        <w:rPr>
          <w:rFonts w:hint="eastAsia" w:ascii="仿宋_GB2312" w:hAnsi="仿宋_GB2312" w:eastAsia="仿宋_GB2312" w:cs="仿宋_GB2312"/>
          <w:color w:val="000000"/>
          <w:szCs w:val="32"/>
        </w:rPr>
        <w:t>。</w:t>
      </w:r>
    </w:p>
    <w:p>
      <w:pPr>
        <w:spacing w:line="600" w:lineRule="exact"/>
        <w:ind w:firstLine="640" w:firstLineChars="200"/>
        <w:rPr>
          <w:rFonts w:hint="eastAsia" w:ascii="仿宋_GB2312" w:hAnsi="仿宋_GB2312" w:eastAsia="仿宋_GB2312" w:cs="仿宋_GB2312"/>
          <w:b/>
          <w:color w:val="000000"/>
          <w:szCs w:val="32"/>
        </w:rPr>
      </w:pPr>
      <w:r>
        <w:rPr>
          <w:rFonts w:hint="eastAsia" w:ascii="仿宋_GB2312" w:hAnsi="仿宋_GB2312" w:eastAsia="仿宋_GB2312" w:cs="仿宋_GB2312"/>
          <w:color w:val="000000"/>
          <w:szCs w:val="32"/>
        </w:rPr>
        <w:t>其中：</w:t>
      </w:r>
      <w:r>
        <w:rPr>
          <w:rFonts w:hint="eastAsia" w:ascii="仿宋_GB2312" w:hAnsi="仿宋_GB2312" w:eastAsia="仿宋_GB2312" w:cs="仿宋_GB2312"/>
          <w:b/>
          <w:color w:val="000000"/>
          <w:szCs w:val="32"/>
        </w:rPr>
        <w:t>公务用车购置支出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万元。全年按规定更新购置公务用车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辆，其中：轿车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辆、金额</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万元，越野车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辆、金额</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万元，载客汽车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辆、金额</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万元。截至2021年12月底，单位共有公务用车</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辆，其中：</w:t>
      </w:r>
      <w:r>
        <w:rPr>
          <w:rFonts w:hint="eastAsia" w:ascii="仿宋_GB2312" w:hAnsi="仿宋_GB2312" w:eastAsia="仿宋_GB2312" w:cs="仿宋_GB2312"/>
          <w:color w:val="000000"/>
          <w:szCs w:val="32"/>
          <w:lang w:eastAsia="zh-CN"/>
        </w:rPr>
        <w:t>应急保障车</w:t>
      </w:r>
      <w:r>
        <w:rPr>
          <w:rFonts w:hint="eastAsia" w:ascii="仿宋_GB2312" w:hAnsi="仿宋_GB2312" w:eastAsia="仿宋_GB2312" w:cs="仿宋_GB2312"/>
          <w:color w:val="000000"/>
          <w:szCs w:val="32"/>
        </w:rPr>
        <w:t>1辆、越野车0辆、载客汽车0辆。</w:t>
      </w:r>
    </w:p>
    <w:p>
      <w:pPr>
        <w:spacing w:line="600" w:lineRule="exact"/>
        <w:ind w:firstLine="640"/>
        <w:rPr>
          <w:rFonts w:hint="eastAsia" w:ascii="仿宋_GB2312" w:hAnsi="仿宋_GB2312" w:eastAsia="仿宋_GB2312" w:cs="仿宋_GB2312"/>
          <w:color w:val="000000"/>
          <w:szCs w:val="32"/>
        </w:rPr>
      </w:pPr>
      <w:r>
        <w:rPr>
          <w:rFonts w:hint="eastAsia" w:ascii="仿宋_GB2312" w:hAnsi="仿宋_GB2312" w:eastAsia="仿宋_GB2312" w:cs="仿宋_GB2312"/>
          <w:b/>
          <w:color w:val="000000"/>
          <w:szCs w:val="32"/>
        </w:rPr>
        <w:t>公务用车运行维护费支出</w:t>
      </w:r>
      <w:r>
        <w:rPr>
          <w:rFonts w:hint="eastAsia" w:ascii="仿宋_GB2312" w:hAnsi="仿宋_GB2312" w:eastAsia="仿宋_GB2312" w:cs="仿宋_GB2312"/>
          <w:color w:val="000000"/>
          <w:szCs w:val="32"/>
          <w:lang w:val="en-US" w:eastAsia="zh-CN"/>
        </w:rPr>
        <w:t>1.35</w:t>
      </w:r>
      <w:r>
        <w:rPr>
          <w:rFonts w:hint="eastAsia" w:ascii="仿宋_GB2312" w:hAnsi="仿宋_GB2312" w:eastAsia="仿宋_GB2312" w:cs="仿宋_GB2312"/>
          <w:color w:val="000000"/>
          <w:szCs w:val="32"/>
        </w:rPr>
        <w:t>万元。主要用于</w:t>
      </w:r>
      <w:r>
        <w:rPr>
          <w:rFonts w:hint="eastAsia" w:ascii="仿宋_GB2312" w:hAnsi="仿宋_GB2312" w:eastAsia="仿宋_GB2312" w:cs="仿宋_GB2312"/>
          <w:color w:val="000000"/>
          <w:szCs w:val="32"/>
          <w:lang w:eastAsia="zh-CN"/>
        </w:rPr>
        <w:t>留置、审查调查工作</w:t>
      </w:r>
      <w:r>
        <w:rPr>
          <w:rFonts w:hint="eastAsia" w:ascii="仿宋_GB2312" w:hAnsi="仿宋_GB2312" w:eastAsia="仿宋_GB2312" w:cs="仿宋_GB2312"/>
          <w:color w:val="000000"/>
          <w:szCs w:val="32"/>
        </w:rPr>
        <w:t>所需的公务用车燃料费、维修费、过路过桥费、保险费等支出。</w:t>
      </w:r>
    </w:p>
    <w:p>
      <w:pPr>
        <w:numPr>
          <w:ilvl w:val="0"/>
          <w:numId w:val="3"/>
        </w:numPr>
        <w:spacing w:line="600" w:lineRule="exact"/>
        <w:ind w:firstLine="640"/>
        <w:rPr>
          <w:rFonts w:hint="eastAsia"/>
        </w:rPr>
      </w:pPr>
      <w:r>
        <w:rPr>
          <w:rFonts w:hint="eastAsia" w:ascii="仿宋_GB2312" w:hAnsi="仿宋_GB2312" w:eastAsia="仿宋_GB2312" w:cs="仿宋_GB2312"/>
          <w:b/>
          <w:color w:val="000000"/>
          <w:szCs w:val="32"/>
        </w:rPr>
        <w:t>公务接待费支出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r>
        <w:rPr>
          <w:rStyle w:val="15"/>
          <w:rFonts w:hint="eastAsia" w:ascii="仿宋_GB2312" w:hAnsi="仿宋_GB2312" w:eastAsia="仿宋_GB2312" w:cs="仿宋_GB2312"/>
          <w:b w:val="0"/>
          <w:bCs/>
          <w:color w:val="000000"/>
          <w:szCs w:val="32"/>
        </w:rPr>
        <w:t>完成预算</w:t>
      </w:r>
      <w:r>
        <w:rPr>
          <w:rStyle w:val="15"/>
          <w:rFonts w:hint="eastAsia" w:ascii="仿宋_GB2312" w:hAnsi="仿宋_GB2312" w:eastAsia="仿宋_GB2312" w:cs="仿宋_GB2312"/>
          <w:b w:val="0"/>
          <w:bCs/>
          <w:color w:val="000000"/>
          <w:szCs w:val="32"/>
          <w:lang w:val="en-US" w:eastAsia="zh-CN"/>
        </w:rPr>
        <w:t>0</w:t>
      </w:r>
      <w:r>
        <w:rPr>
          <w:rStyle w:val="15"/>
          <w:rFonts w:hint="eastAsia" w:ascii="仿宋_GB2312" w:hAnsi="仿宋_GB2312" w:eastAsia="仿宋_GB2312" w:cs="仿宋_GB2312"/>
          <w:b w:val="0"/>
          <w:bCs/>
          <w:color w:val="000000"/>
          <w:szCs w:val="32"/>
        </w:rPr>
        <w:t>%。</w:t>
      </w:r>
      <w:r>
        <w:rPr>
          <w:rFonts w:hint="eastAsia" w:ascii="仿宋_GB2312" w:hAnsi="仿宋_GB2312" w:eastAsia="仿宋_GB2312" w:cs="仿宋_GB2312"/>
          <w:color w:val="000000"/>
          <w:szCs w:val="32"/>
        </w:rPr>
        <w:t>公务接待费支出决算比2020年</w:t>
      </w:r>
      <w:r>
        <w:rPr>
          <w:rFonts w:hint="eastAsia" w:ascii="仿宋_GB2312" w:hAnsi="仿宋_GB2312" w:eastAsia="仿宋_GB2312" w:cs="仿宋_GB2312"/>
          <w:color w:val="000000"/>
          <w:szCs w:val="32"/>
          <w:lang w:eastAsia="zh-CN"/>
        </w:rPr>
        <w:t>持平</w:t>
      </w:r>
      <w:r>
        <w:rPr>
          <w:rFonts w:hint="eastAsia" w:ascii="仿宋_GB2312" w:hAnsi="仿宋_GB2312" w:eastAsia="仿宋_GB2312" w:cs="仿宋_GB2312"/>
          <w:color w:val="000000"/>
          <w:szCs w:val="32"/>
        </w:rPr>
        <w:t>。其中：</w:t>
      </w:r>
      <w:r>
        <w:rPr>
          <w:rFonts w:hint="eastAsia" w:ascii="仿宋_GB2312" w:hAnsi="仿宋_GB2312" w:eastAsia="仿宋_GB2312" w:cs="仿宋_GB2312"/>
          <w:b/>
          <w:color w:val="000000"/>
          <w:szCs w:val="32"/>
        </w:rPr>
        <w:t>国内公务接待支出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r>
        <w:rPr>
          <w:rFonts w:hint="eastAsia" w:ascii="仿宋_GB2312" w:hAnsi="仿宋_GB2312" w:eastAsia="仿宋_GB2312" w:cs="仿宋_GB2312"/>
          <w:b/>
          <w:color w:val="000000"/>
          <w:szCs w:val="32"/>
        </w:rPr>
        <w:t>外事接待支出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bookmarkStart w:id="37" w:name="_Toc15396610"/>
      <w:bookmarkStart w:id="38" w:name="_Toc15377218"/>
    </w:p>
    <w:p>
      <w:pPr>
        <w:spacing w:line="600" w:lineRule="exact"/>
        <w:ind w:firstLine="640"/>
        <w:outlineLvl w:val="1"/>
        <w:rPr>
          <w:rStyle w:val="18"/>
          <w:rFonts w:hint="eastAsia" w:ascii="仿宋_GB2312" w:hAnsi="仿宋_GB2312" w:eastAsia="仿宋_GB2312" w:cs="仿宋_GB2312"/>
        </w:rPr>
      </w:pPr>
      <w:bookmarkStart w:id="39" w:name="_Toc10901"/>
      <w:r>
        <w:rPr>
          <w:rFonts w:hint="eastAsia" w:ascii="仿宋_GB2312" w:hAnsi="仿宋_GB2312" w:eastAsia="仿宋_GB2312" w:cs="仿宋_GB2312"/>
          <w:color w:val="000000"/>
          <w:szCs w:val="32"/>
        </w:rPr>
        <w:t>八、</w:t>
      </w:r>
      <w:r>
        <w:rPr>
          <w:rStyle w:val="18"/>
          <w:rFonts w:hint="eastAsia" w:ascii="仿宋_GB2312" w:hAnsi="仿宋_GB2312" w:eastAsia="仿宋_GB2312" w:cs="仿宋_GB2312"/>
          <w:b w:val="0"/>
        </w:rPr>
        <w:t>政府性基金预算支出决算情况说明</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2021年政府性基金预算拨款支出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r>
        <w:rPr>
          <w:rFonts w:hint="eastAsia" w:ascii="仿宋_GB2312" w:hAnsi="仿宋_GB2312" w:eastAsia="仿宋_GB2312" w:cs="仿宋_GB2312"/>
          <w:sz w:val="32"/>
          <w:szCs w:val="32"/>
        </w:rPr>
        <w:t>自贡市纪委监委廉政教育中心202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政府性基金预算拨款安排。</w:t>
      </w:r>
    </w:p>
    <w:p>
      <w:pPr>
        <w:numPr>
          <w:ilvl w:val="0"/>
          <w:numId w:val="4"/>
        </w:numPr>
        <w:spacing w:line="600" w:lineRule="exact"/>
        <w:ind w:firstLine="640"/>
        <w:outlineLvl w:val="1"/>
        <w:rPr>
          <w:rStyle w:val="18"/>
          <w:rFonts w:hint="eastAsia" w:ascii="仿宋_GB2312" w:hAnsi="仿宋_GB2312" w:eastAsia="仿宋_GB2312" w:cs="仿宋_GB2312"/>
          <w:b w:val="0"/>
        </w:rPr>
      </w:pPr>
      <w:bookmarkStart w:id="40" w:name="_Toc15396611"/>
      <w:bookmarkStart w:id="41" w:name="_Toc15377219"/>
      <w:bookmarkStart w:id="42" w:name="_Toc26293"/>
      <w:r>
        <w:rPr>
          <w:rStyle w:val="18"/>
          <w:rFonts w:hint="eastAsia" w:ascii="仿宋_GB2312" w:hAnsi="仿宋_GB2312" w:eastAsia="仿宋_GB2312" w:cs="仿宋_GB2312"/>
          <w:b w:val="0"/>
        </w:rPr>
        <w:t>国有资本经营预算支出决算情况说明</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44"/>
          <w:szCs w:val="44"/>
        </w:rPr>
      </w:pPr>
      <w:r>
        <w:rPr>
          <w:rFonts w:hint="eastAsia" w:ascii="仿宋_GB2312" w:hAnsi="仿宋_GB2312" w:eastAsia="仿宋_GB2312" w:cs="仿宋_GB2312"/>
          <w:color w:val="000000"/>
          <w:szCs w:val="32"/>
        </w:rPr>
        <w:t>2021年国有资本经营预算拨款支出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w:t>
      </w:r>
      <w:r>
        <w:rPr>
          <w:rFonts w:hint="eastAsia" w:ascii="仿宋_GB2312" w:hAnsi="仿宋_GB2312" w:eastAsia="仿宋_GB2312" w:cs="仿宋_GB2312"/>
          <w:sz w:val="32"/>
          <w:szCs w:val="32"/>
        </w:rPr>
        <w:t>自贡市纪委监委廉政教育中心202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color w:val="000000"/>
          <w:szCs w:val="32"/>
        </w:rPr>
        <w:t>国有资本经营预算拨款</w:t>
      </w:r>
      <w:r>
        <w:rPr>
          <w:rFonts w:hint="eastAsia" w:ascii="仿宋_GB2312" w:hAnsi="仿宋_GB2312" w:eastAsia="仿宋_GB2312" w:cs="仿宋_GB2312"/>
          <w:sz w:val="32"/>
          <w:szCs w:val="32"/>
        </w:rPr>
        <w:t>安排。</w:t>
      </w:r>
    </w:p>
    <w:p>
      <w:pPr>
        <w:spacing w:line="600" w:lineRule="exact"/>
        <w:ind w:firstLine="800" w:firstLineChars="250"/>
        <w:outlineLvl w:val="1"/>
        <w:rPr>
          <w:rStyle w:val="18"/>
          <w:rFonts w:hint="eastAsia" w:ascii="仿宋_GB2312" w:hAnsi="仿宋_GB2312" w:eastAsia="仿宋_GB2312" w:cs="仿宋_GB2312"/>
        </w:rPr>
      </w:pPr>
      <w:bookmarkStart w:id="43" w:name="_Toc27271"/>
      <w:bookmarkStart w:id="44" w:name="_Toc15377221"/>
      <w:bookmarkStart w:id="45" w:name="_Toc15396612"/>
      <w:r>
        <w:rPr>
          <w:rFonts w:hint="eastAsia" w:ascii="仿宋_GB2312" w:hAnsi="仿宋_GB2312" w:eastAsia="仿宋_GB2312" w:cs="仿宋_GB2312"/>
          <w:color w:val="000000"/>
          <w:szCs w:val="32"/>
        </w:rPr>
        <w:t>十</w:t>
      </w:r>
      <w:r>
        <w:rPr>
          <w:rStyle w:val="18"/>
          <w:rFonts w:hint="eastAsia" w:ascii="仿宋_GB2312" w:hAnsi="仿宋_GB2312" w:eastAsia="仿宋_GB2312" w:cs="仿宋_GB2312"/>
        </w:rPr>
        <w:t>、</w:t>
      </w:r>
      <w:r>
        <w:rPr>
          <w:rStyle w:val="18"/>
          <w:rFonts w:hint="eastAsia" w:ascii="仿宋_GB2312" w:hAnsi="仿宋_GB2312" w:eastAsia="仿宋_GB2312" w:cs="仿宋_GB2312"/>
          <w:b w:val="0"/>
        </w:rPr>
        <w:t>其他重要事项的情况说明</w:t>
      </w:r>
      <w:bookmarkEnd w:id="43"/>
      <w:bookmarkEnd w:id="44"/>
      <w:bookmarkEnd w:id="45"/>
    </w:p>
    <w:p>
      <w:pPr>
        <w:spacing w:line="600" w:lineRule="exact"/>
        <w:ind w:firstLine="643" w:firstLineChars="200"/>
        <w:outlineLvl w:val="2"/>
        <w:rPr>
          <w:rFonts w:hint="eastAsia" w:ascii="仿宋_GB2312" w:hAnsi="仿宋_GB2312" w:eastAsia="仿宋_GB2312" w:cs="仿宋_GB2312"/>
          <w:color w:val="000000"/>
          <w:szCs w:val="32"/>
        </w:rPr>
      </w:pPr>
      <w:bookmarkStart w:id="46" w:name="_Toc15377222"/>
      <w:r>
        <w:rPr>
          <w:rFonts w:hint="eastAsia" w:ascii="仿宋_GB2312" w:hAnsi="仿宋_GB2312" w:eastAsia="仿宋_GB2312" w:cs="仿宋_GB2312"/>
          <w:b/>
          <w:color w:val="000000"/>
          <w:szCs w:val="32"/>
        </w:rPr>
        <w:t>（一）机关运行经费支出情况</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自贡市廉政教育中心属于事业单位，</w:t>
      </w:r>
      <w:r>
        <w:rPr>
          <w:rFonts w:hint="eastAsia" w:ascii="仿宋_GB2312" w:hAnsi="仿宋_GB2312" w:eastAsia="仿宋_GB2312" w:cs="仿宋_GB2312"/>
          <w:color w:val="000000"/>
          <w:szCs w:val="32"/>
        </w:rPr>
        <w:t>2021年</w:t>
      </w:r>
      <w:r>
        <w:rPr>
          <w:rFonts w:hint="eastAsia" w:ascii="仿宋_GB2312" w:hAnsi="仿宋_GB2312" w:eastAsia="仿宋_GB2312" w:cs="仿宋_GB2312"/>
          <w:sz w:val="32"/>
          <w:szCs w:val="32"/>
          <w:lang w:eastAsia="zh-CN"/>
        </w:rPr>
        <w:t>无机关运行经费。</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Cs w:val="32"/>
        </w:rPr>
      </w:pPr>
      <w:bookmarkStart w:id="47" w:name="_Toc15377223"/>
      <w:r>
        <w:rPr>
          <w:rFonts w:hint="eastAsia" w:ascii="仿宋_GB2312" w:hAnsi="仿宋_GB2312" w:eastAsia="仿宋_GB2312" w:cs="仿宋_GB2312"/>
          <w:b/>
          <w:color w:val="000000"/>
          <w:szCs w:val="32"/>
        </w:rPr>
        <w:t>（二）政府采购支出情况</w:t>
      </w:r>
      <w:bookmarkEnd w:id="47"/>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2021年，市廉政教育中心政府采购支出总额</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万元，其中：政府采购货物支出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万元、政府采购工程支出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万元、政府采购服务支出</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万元。授予中小企业合同金额</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万元，占政府采购支出总额的</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%，其中：授予小微企业合同金额</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万元，占政府采购支出总额的</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Cs w:val="32"/>
        </w:rPr>
      </w:pPr>
      <w:bookmarkStart w:id="48" w:name="_Toc15377224"/>
      <w:r>
        <w:rPr>
          <w:rFonts w:hint="eastAsia" w:ascii="仿宋_GB2312" w:hAnsi="仿宋_GB2312" w:eastAsia="仿宋_GB2312" w:cs="仿宋_GB2312"/>
          <w:b/>
          <w:color w:val="000000"/>
          <w:szCs w:val="32"/>
        </w:rPr>
        <w:t>（三）国有资产占有使用情况</w:t>
      </w:r>
      <w:bookmarkEnd w:id="48"/>
    </w:p>
    <w:p>
      <w:pPr>
        <w:autoSpaceDE w:val="0"/>
        <w:autoSpaceDN w:val="0"/>
        <w:adjustRightInd w:val="0"/>
        <w:spacing w:line="600" w:lineRule="atLeast"/>
        <w:ind w:firstLine="707" w:firstLineChars="221"/>
        <w:jc w:val="left"/>
        <w:rPr>
          <w:rFonts w:hint="eastAsia" w:ascii="仿宋_GB2312" w:hAnsi="仿宋_GB2312" w:eastAsia="仿宋_GB2312" w:cs="仿宋_GB2312"/>
          <w:b/>
          <w:color w:val="FF0000"/>
          <w:szCs w:val="32"/>
        </w:rPr>
      </w:pPr>
      <w:r>
        <w:rPr>
          <w:rFonts w:hint="eastAsia" w:ascii="仿宋_GB2312" w:hAnsi="仿宋_GB2312" w:eastAsia="仿宋_GB2312" w:cs="仿宋_GB2312"/>
          <w:color w:val="000000"/>
          <w:szCs w:val="32"/>
        </w:rPr>
        <w:t>截至2021年12月31日，市廉政教育中心共有车辆1辆，其中：主要领导干部用车0辆、机要通信用车0辆、应急保障用车</w:t>
      </w:r>
      <w:r>
        <w:rPr>
          <w:rFonts w:hint="eastAsia" w:ascii="仿宋_GB2312" w:hAnsi="仿宋_GB2312" w:eastAsia="仿宋_GB2312" w:cs="仿宋_GB2312"/>
          <w:color w:val="000000"/>
          <w:szCs w:val="32"/>
          <w:lang w:val="en-US" w:eastAsia="zh-CN"/>
        </w:rPr>
        <w:t>1</w:t>
      </w:r>
      <w:r>
        <w:rPr>
          <w:rFonts w:hint="eastAsia" w:ascii="仿宋_GB2312" w:hAnsi="仿宋_GB2312" w:eastAsia="仿宋_GB2312" w:cs="仿宋_GB2312"/>
          <w:color w:val="000000"/>
          <w:szCs w:val="32"/>
        </w:rPr>
        <w:t>辆、其他用车</w:t>
      </w:r>
      <w:r>
        <w:rPr>
          <w:rFonts w:hint="eastAsia" w:ascii="仿宋_GB2312" w:hAnsi="仿宋_GB2312" w:eastAsia="仿宋_GB2312" w:cs="仿宋_GB2312"/>
          <w:color w:val="000000"/>
          <w:szCs w:val="32"/>
          <w:lang w:val="en-US" w:eastAsia="zh-CN"/>
        </w:rPr>
        <w:t>0</w:t>
      </w:r>
      <w:r>
        <w:rPr>
          <w:rFonts w:hint="eastAsia" w:ascii="仿宋_GB2312" w:hAnsi="仿宋_GB2312" w:eastAsia="仿宋_GB2312" w:cs="仿宋_GB2312"/>
          <w:color w:val="000000"/>
          <w:szCs w:val="32"/>
        </w:rPr>
        <w:t>辆。应急保障用车用于</w:t>
      </w:r>
      <w:r>
        <w:rPr>
          <w:rFonts w:hint="eastAsia" w:ascii="仿宋_GB2312" w:hAnsi="仿宋_GB2312" w:eastAsia="仿宋_GB2312" w:cs="仿宋_GB2312"/>
          <w:color w:val="000000"/>
          <w:szCs w:val="32"/>
          <w:lang w:eastAsia="zh-CN"/>
        </w:rPr>
        <w:t>留置、审查调查工作中的突发应急保障</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Cs w:val="32"/>
        </w:rPr>
        <w:t>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_GB2312" w:hAnsi="仿宋_GB2312" w:eastAsia="仿宋_GB2312" w:cs="仿宋_GB2312"/>
          <w:b/>
          <w:color w:val="000000"/>
          <w:szCs w:val="32"/>
        </w:rPr>
      </w:pPr>
      <w:r>
        <w:rPr>
          <w:rFonts w:hint="eastAsia" w:ascii="仿宋_GB2312" w:hAnsi="仿宋_GB2312" w:eastAsia="仿宋_GB2312" w:cs="仿宋_GB2312"/>
          <w:b/>
          <w:color w:val="000000"/>
          <w:szCs w:val="32"/>
        </w:rPr>
        <w:t>（四）预算绩效管理情况。</w:t>
      </w:r>
    </w:p>
    <w:p>
      <w:pPr>
        <w:spacing w:line="58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根据预算绩效管理要求，本单位在2021年度预算编制阶段，组织对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廉政中心工作运转经费</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个项目开展了预算事前绩效评估，对</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个项目编制了绩效目标，预算执行过程中，选取</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个项目开展绩效监控，年终执行完毕后，对</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个项目开展了绩效自评，2021年市级部门预算项目绩效目标自评表见附件（第四部分）。</w:t>
      </w:r>
    </w:p>
    <w:p>
      <w:pPr>
        <w:rPr>
          <w:rStyle w:val="17"/>
          <w:rFonts w:hint="eastAsia" w:ascii="仿宋_GB2312" w:hAnsi="仿宋_GB2312" w:eastAsia="仿宋_GB2312" w:cs="仿宋_GB2312"/>
          <w:b w:val="0"/>
        </w:rPr>
      </w:pPr>
      <w:bookmarkStart w:id="49" w:name="_Toc15396613"/>
      <w:bookmarkStart w:id="50" w:name="_Toc21676"/>
      <w:bookmarkStart w:id="51" w:name="_Toc15377225"/>
    </w:p>
    <w:p>
      <w:pPr>
        <w:numPr>
          <w:ilvl w:val="0"/>
          <w:numId w:val="0"/>
        </w:numPr>
        <w:spacing w:line="600" w:lineRule="exact"/>
        <w:ind w:firstLine="1760" w:firstLineChars="400"/>
        <w:jc w:val="both"/>
        <w:outlineLvl w:val="0"/>
        <w:rPr>
          <w:rFonts w:hint="eastAsia"/>
        </w:rPr>
      </w:pPr>
      <w:r>
        <w:rPr>
          <w:rFonts w:hint="eastAsia" w:ascii="仿宋_GB2312" w:hAnsi="仿宋_GB2312" w:cs="仿宋_GB2312"/>
          <w:color w:val="000000"/>
          <w:sz w:val="44"/>
          <w:szCs w:val="44"/>
          <w:lang w:val="en-US" w:eastAsia="zh-CN"/>
        </w:rPr>
        <w:t xml:space="preserve">第三部分  </w:t>
      </w:r>
      <w:r>
        <w:rPr>
          <w:rFonts w:hint="eastAsia" w:ascii="仿宋_GB2312" w:hAnsi="仿宋_GB2312" w:eastAsia="仿宋_GB2312" w:cs="仿宋_GB2312"/>
          <w:color w:val="000000"/>
          <w:sz w:val="44"/>
          <w:szCs w:val="44"/>
        </w:rPr>
        <w:t>名</w:t>
      </w:r>
      <w:r>
        <w:rPr>
          <w:rStyle w:val="17"/>
          <w:rFonts w:hint="eastAsia" w:ascii="仿宋_GB2312" w:hAnsi="仿宋_GB2312" w:eastAsia="仿宋_GB2312" w:cs="仿宋_GB2312"/>
          <w:b w:val="0"/>
        </w:rPr>
        <w:t>词解释</w:t>
      </w:r>
      <w:bookmarkEnd w:id="49"/>
      <w:bookmarkEnd w:id="50"/>
      <w:bookmarkEnd w:id="51"/>
    </w:p>
    <w:p>
      <w:pPr>
        <w:pStyle w:val="2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1.财政拨款收入：指单位从同级财政部门取得的财政预算资金。</w:t>
      </w:r>
    </w:p>
    <w:p>
      <w:pPr>
        <w:pStyle w:val="2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.使用非财政拨款结余：指事业单位使用以前年度积累的非财政拨款结余弥补当年收支差额的金额。 </w:t>
      </w:r>
    </w:p>
    <w:p>
      <w:pPr>
        <w:pStyle w:val="2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.年初结转和结余：指以前年度尚未完成、结转到本年按有关规定继续使用的资金。 </w:t>
      </w:r>
    </w:p>
    <w:p>
      <w:pPr>
        <w:pStyle w:val="2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.结余分配：指事业单位按照会计制度规定缴纳的所得税、提取的专用结余以及转入非财政拨款结余的金额等。</w:t>
      </w:r>
    </w:p>
    <w:p>
      <w:pPr>
        <w:pStyle w:val="2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、年末结转和结余：指单位按有关规定结转到下年或以后年度继续使用的资金。</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val="0"/>
          <w:bCs w:val="0"/>
          <w:color w:val="000000"/>
          <w:szCs w:val="32"/>
          <w:lang w:val="en-US" w:eastAsia="zh-CN"/>
        </w:rPr>
        <w:t>6</w:t>
      </w:r>
      <w:r>
        <w:rPr>
          <w:rFonts w:hint="eastAsia" w:ascii="仿宋_GB2312" w:hAnsi="仿宋_GB2312" w:eastAsia="仿宋_GB2312" w:cs="仿宋_GB2312"/>
          <w:b w:val="0"/>
          <w:bCs w:val="0"/>
          <w:color w:val="000000"/>
          <w:szCs w:val="32"/>
        </w:rPr>
        <w:t>.</w:t>
      </w:r>
      <w:r>
        <w:rPr>
          <w:rStyle w:val="15"/>
          <w:rFonts w:hint="eastAsia" w:ascii="仿宋_GB2312" w:hAnsi="仿宋_GB2312" w:eastAsia="仿宋_GB2312" w:cs="仿宋_GB2312"/>
          <w:b w:val="0"/>
          <w:bCs w:val="0"/>
          <w:color w:val="000000"/>
          <w:szCs w:val="32"/>
        </w:rPr>
        <w:t>一般公共服务（类）纪检监察事务（款）事业运行（项）</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color w:val="000000"/>
          <w:szCs w:val="32"/>
        </w:rPr>
        <w:t>指</w:t>
      </w:r>
      <w:r>
        <w:rPr>
          <w:rFonts w:hint="eastAsia" w:ascii="仿宋_GB2312" w:hAnsi="仿宋_GB2312" w:eastAsia="仿宋_GB2312" w:cs="仿宋_GB2312"/>
          <w:color w:val="000000"/>
          <w:szCs w:val="32"/>
          <w:lang w:eastAsia="zh-CN"/>
        </w:rPr>
        <w:t>事业单位的基本支出</w:t>
      </w:r>
      <w:r>
        <w:rPr>
          <w:rFonts w:hint="eastAsia" w:ascii="仿宋_GB2312" w:hAnsi="仿宋_GB2312" w:eastAsia="仿宋_GB2312" w:cs="仿宋_GB2312"/>
          <w:color w:val="000000"/>
          <w:szCs w:val="32"/>
        </w:rPr>
        <w:t>。</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val="0"/>
          <w:bCs w:val="0"/>
          <w:color w:val="000000"/>
          <w:szCs w:val="32"/>
          <w:lang w:val="en-US" w:eastAsia="zh-CN"/>
        </w:rPr>
        <w:t>7</w:t>
      </w:r>
      <w:r>
        <w:rPr>
          <w:rFonts w:hint="eastAsia" w:ascii="仿宋_GB2312" w:hAnsi="仿宋_GB2312" w:eastAsia="仿宋_GB2312" w:cs="仿宋_GB2312"/>
          <w:b w:val="0"/>
          <w:bCs w:val="0"/>
          <w:color w:val="000000"/>
          <w:szCs w:val="32"/>
        </w:rPr>
        <w:t>.</w:t>
      </w:r>
      <w:r>
        <w:rPr>
          <w:rStyle w:val="15"/>
          <w:rFonts w:hint="eastAsia" w:ascii="仿宋_GB2312" w:hAnsi="仿宋_GB2312" w:eastAsia="仿宋_GB2312" w:cs="仿宋_GB2312"/>
          <w:b w:val="0"/>
          <w:bCs w:val="0"/>
          <w:color w:val="000000"/>
          <w:szCs w:val="32"/>
        </w:rPr>
        <w:t>一般公共服务（类）纪检监察事务（款）其他纪检监察事务支出（项）</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color w:val="000000"/>
          <w:szCs w:val="32"/>
        </w:rPr>
        <w:t>指</w:t>
      </w:r>
      <w:r>
        <w:rPr>
          <w:rFonts w:hint="eastAsia" w:ascii="仿宋_GB2312" w:hAnsi="仿宋_GB2312" w:eastAsia="仿宋_GB2312" w:cs="仿宋_GB2312"/>
          <w:color w:val="000000"/>
          <w:szCs w:val="32"/>
          <w:lang w:eastAsia="zh-CN"/>
        </w:rPr>
        <w:t>廉政教育中心（留置场所）的运转经费</w:t>
      </w:r>
      <w:r>
        <w:rPr>
          <w:rFonts w:hint="eastAsia" w:ascii="仿宋_GB2312" w:hAnsi="仿宋_GB2312" w:eastAsia="仿宋_GB2312" w:cs="仿宋_GB2312"/>
          <w:color w:val="000000"/>
          <w:szCs w:val="32"/>
        </w:rPr>
        <w:t>。</w:t>
      </w:r>
    </w:p>
    <w:p>
      <w:pPr>
        <w:spacing w:line="600" w:lineRule="atLeast"/>
        <w:ind w:firstLine="640" w:firstLineChars="200"/>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color w:val="000000"/>
          <w:szCs w:val="32"/>
          <w:lang w:val="en-US" w:eastAsia="zh-CN"/>
        </w:rPr>
        <w:t>8</w:t>
      </w:r>
      <w:r>
        <w:rPr>
          <w:rFonts w:hint="eastAsia" w:ascii="仿宋_GB2312" w:hAnsi="仿宋_GB2312" w:eastAsia="仿宋_GB2312" w:cs="仿宋_GB2312"/>
          <w:b w:val="0"/>
          <w:bCs w:val="0"/>
          <w:color w:val="000000"/>
          <w:szCs w:val="32"/>
        </w:rPr>
        <w:t>.</w:t>
      </w:r>
      <w:r>
        <w:rPr>
          <w:rStyle w:val="15"/>
          <w:rFonts w:hint="eastAsia" w:ascii="仿宋_GB2312" w:hAnsi="仿宋_GB2312" w:eastAsia="仿宋_GB2312" w:cs="仿宋_GB2312"/>
          <w:b w:val="0"/>
          <w:bCs w:val="0"/>
          <w:color w:val="000000"/>
          <w:szCs w:val="32"/>
        </w:rPr>
        <w:t>社会保障和就业（类）</w:t>
      </w:r>
      <w:r>
        <w:rPr>
          <w:rFonts w:hint="eastAsia" w:ascii="仿宋_GB2312" w:hAnsi="仿宋_GB2312" w:eastAsia="仿宋_GB2312" w:cs="仿宋_GB2312"/>
          <w:szCs w:val="32"/>
        </w:rPr>
        <w:t>行政事业单位养老支出</w:t>
      </w:r>
      <w:r>
        <w:rPr>
          <w:rStyle w:val="15"/>
          <w:rFonts w:hint="eastAsia" w:ascii="仿宋_GB2312" w:hAnsi="仿宋_GB2312" w:eastAsia="仿宋_GB2312" w:cs="仿宋_GB2312"/>
          <w:b w:val="0"/>
          <w:bCs w:val="0"/>
          <w:color w:val="000000"/>
          <w:szCs w:val="32"/>
        </w:rPr>
        <w:t>（款）</w:t>
      </w:r>
    </w:p>
    <w:p>
      <w:pPr>
        <w:rPr>
          <w:rFonts w:hint="eastAsia" w:ascii="仿宋_GB2312" w:hAnsi="仿宋_GB2312" w:eastAsia="仿宋_GB2312" w:cs="仿宋_GB2312"/>
          <w:color w:val="000000"/>
          <w:szCs w:val="32"/>
        </w:rPr>
      </w:pPr>
      <w:r>
        <w:rPr>
          <w:rFonts w:hint="eastAsia" w:ascii="仿宋_GB2312" w:hAnsi="仿宋_GB2312" w:eastAsia="仿宋_GB2312" w:cs="仿宋_GB2312"/>
          <w:szCs w:val="32"/>
        </w:rPr>
        <w:t>机关事业单位基本养老保险缴费支出</w:t>
      </w:r>
      <w:r>
        <w:rPr>
          <w:rStyle w:val="15"/>
          <w:rFonts w:hint="eastAsia" w:ascii="仿宋_GB2312" w:hAnsi="仿宋_GB2312" w:eastAsia="仿宋_GB2312" w:cs="仿宋_GB2312"/>
          <w:b w:val="0"/>
          <w:bCs w:val="0"/>
          <w:color w:val="000000"/>
          <w:szCs w:val="32"/>
        </w:rPr>
        <w:t>（项）</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color w:val="000000"/>
          <w:szCs w:val="32"/>
        </w:rPr>
        <w:t>指</w:t>
      </w:r>
      <w:r>
        <w:rPr>
          <w:rFonts w:hint="eastAsia" w:ascii="仿宋_GB2312" w:hAnsi="仿宋_GB2312" w:eastAsia="仿宋_GB2312" w:cs="仿宋_GB2312"/>
          <w:color w:val="000000"/>
          <w:szCs w:val="32"/>
          <w:lang w:eastAsia="zh-CN"/>
        </w:rPr>
        <w:t>机关事业单位实施养老保险制度由单位缴纳的基本养老保险费支出</w:t>
      </w:r>
      <w:r>
        <w:rPr>
          <w:rFonts w:hint="eastAsia" w:ascii="仿宋_GB2312" w:hAnsi="仿宋_GB2312" w:eastAsia="仿宋_GB2312" w:cs="仿宋_GB2312"/>
          <w:color w:val="000000"/>
          <w:szCs w:val="32"/>
        </w:rPr>
        <w:t>。</w:t>
      </w:r>
    </w:p>
    <w:p>
      <w:pPr>
        <w:spacing w:line="600" w:lineRule="atLeast"/>
        <w:ind w:firstLine="640" w:firstLineChars="200"/>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color w:val="000000"/>
          <w:szCs w:val="32"/>
          <w:lang w:val="en-US" w:eastAsia="zh-CN"/>
        </w:rPr>
        <w:t>9</w:t>
      </w:r>
      <w:r>
        <w:rPr>
          <w:rFonts w:hint="eastAsia" w:ascii="仿宋_GB2312" w:hAnsi="仿宋_GB2312" w:eastAsia="仿宋_GB2312" w:cs="仿宋_GB2312"/>
          <w:b w:val="0"/>
          <w:bCs w:val="0"/>
          <w:color w:val="000000"/>
          <w:szCs w:val="32"/>
        </w:rPr>
        <w:t>.</w:t>
      </w:r>
      <w:r>
        <w:rPr>
          <w:rStyle w:val="15"/>
          <w:rFonts w:hint="eastAsia" w:ascii="仿宋_GB2312" w:hAnsi="仿宋_GB2312" w:eastAsia="仿宋_GB2312" w:cs="仿宋_GB2312"/>
          <w:b w:val="0"/>
          <w:bCs w:val="0"/>
          <w:color w:val="000000"/>
          <w:szCs w:val="32"/>
        </w:rPr>
        <w:t>社会保障和就业（类）</w:t>
      </w:r>
      <w:r>
        <w:rPr>
          <w:rFonts w:hint="eastAsia" w:ascii="仿宋_GB2312" w:hAnsi="仿宋_GB2312" w:eastAsia="仿宋_GB2312" w:cs="仿宋_GB2312"/>
          <w:szCs w:val="32"/>
        </w:rPr>
        <w:t>行政事业单位养老支出</w:t>
      </w:r>
      <w:r>
        <w:rPr>
          <w:rStyle w:val="15"/>
          <w:rFonts w:hint="eastAsia" w:ascii="仿宋_GB2312" w:hAnsi="仿宋_GB2312" w:eastAsia="仿宋_GB2312" w:cs="仿宋_GB2312"/>
          <w:b w:val="0"/>
          <w:bCs w:val="0"/>
          <w:color w:val="000000"/>
          <w:szCs w:val="32"/>
        </w:rPr>
        <w:t>（款）</w:t>
      </w:r>
    </w:p>
    <w:p>
      <w:pPr>
        <w:rPr>
          <w:rFonts w:hint="eastAsia" w:ascii="仿宋_GB2312" w:hAnsi="仿宋_GB2312" w:eastAsia="仿宋_GB2312" w:cs="仿宋_GB2312"/>
          <w:color w:val="000000"/>
          <w:szCs w:val="32"/>
        </w:rPr>
      </w:pPr>
      <w:r>
        <w:rPr>
          <w:rFonts w:hint="eastAsia" w:ascii="仿宋_GB2312" w:hAnsi="仿宋_GB2312" w:eastAsia="仿宋_GB2312" w:cs="仿宋_GB2312"/>
          <w:szCs w:val="32"/>
        </w:rPr>
        <w:t>机关事业单位职业年金缴费支出</w:t>
      </w:r>
      <w:r>
        <w:rPr>
          <w:rStyle w:val="15"/>
          <w:rFonts w:hint="eastAsia" w:ascii="仿宋_GB2312" w:hAnsi="仿宋_GB2312" w:eastAsia="仿宋_GB2312" w:cs="仿宋_GB2312"/>
          <w:b w:val="0"/>
          <w:bCs w:val="0"/>
          <w:color w:val="000000"/>
          <w:szCs w:val="32"/>
        </w:rPr>
        <w:t>（项）</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color w:val="000000"/>
          <w:szCs w:val="32"/>
        </w:rPr>
        <w:t>指</w:t>
      </w:r>
      <w:r>
        <w:rPr>
          <w:rFonts w:hint="eastAsia" w:ascii="仿宋_GB2312" w:hAnsi="仿宋_GB2312" w:eastAsia="仿宋_GB2312" w:cs="仿宋_GB2312"/>
          <w:color w:val="000000"/>
          <w:szCs w:val="32"/>
          <w:lang w:eastAsia="zh-CN"/>
        </w:rPr>
        <w:t>机关事业单位实施养老保险制度由单位缴纳的职业年金费支出</w:t>
      </w:r>
      <w:r>
        <w:rPr>
          <w:rFonts w:hint="eastAsia" w:ascii="仿宋_GB2312" w:hAnsi="仿宋_GB2312" w:eastAsia="仿宋_GB2312" w:cs="仿宋_GB2312"/>
          <w:color w:val="000000"/>
          <w:szCs w:val="32"/>
        </w:rPr>
        <w:t>。</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val="0"/>
          <w:bCs w:val="0"/>
          <w:color w:val="000000"/>
          <w:szCs w:val="32"/>
          <w:lang w:val="en-US" w:eastAsia="zh-CN"/>
        </w:rPr>
        <w:t>10</w:t>
      </w:r>
      <w:r>
        <w:rPr>
          <w:rFonts w:hint="eastAsia" w:ascii="仿宋_GB2312" w:hAnsi="仿宋_GB2312" w:eastAsia="仿宋_GB2312" w:cs="仿宋_GB2312"/>
          <w:b w:val="0"/>
          <w:bCs w:val="0"/>
          <w:color w:val="000000"/>
          <w:szCs w:val="32"/>
        </w:rPr>
        <w:t>.卫生健康</w:t>
      </w:r>
      <w:r>
        <w:rPr>
          <w:rStyle w:val="15"/>
          <w:rFonts w:hint="eastAsia" w:ascii="仿宋_GB2312" w:hAnsi="仿宋_GB2312" w:eastAsia="仿宋_GB2312" w:cs="仿宋_GB2312"/>
          <w:b w:val="0"/>
          <w:bCs w:val="0"/>
          <w:color w:val="000000"/>
          <w:szCs w:val="32"/>
        </w:rPr>
        <w:t>（类）行政事业单位医疗（款）行政事业单位医疗（项）</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color w:val="000000"/>
          <w:szCs w:val="32"/>
        </w:rPr>
        <w:t>指</w:t>
      </w:r>
      <w:r>
        <w:rPr>
          <w:rFonts w:hint="eastAsia" w:ascii="仿宋_GB2312" w:hAnsi="仿宋_GB2312" w:eastAsia="仿宋_GB2312" w:cs="仿宋_GB2312"/>
          <w:color w:val="000000"/>
          <w:szCs w:val="32"/>
          <w:lang w:eastAsia="zh-CN"/>
        </w:rPr>
        <w:t>行政事业单位基本医疗保险缴费经费</w:t>
      </w:r>
      <w:r>
        <w:rPr>
          <w:rFonts w:hint="eastAsia" w:ascii="仿宋_GB2312" w:hAnsi="仿宋_GB2312" w:eastAsia="仿宋_GB2312" w:cs="仿宋_GB2312"/>
          <w:color w:val="000000"/>
          <w:szCs w:val="32"/>
        </w:rPr>
        <w:t>。</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b w:val="0"/>
          <w:bCs w:val="0"/>
          <w:color w:val="000000"/>
          <w:szCs w:val="32"/>
        </w:rPr>
        <w:t>1</w:t>
      </w:r>
      <w:r>
        <w:rPr>
          <w:rFonts w:hint="eastAsia" w:ascii="仿宋_GB2312" w:hAnsi="仿宋_GB2312" w:eastAsia="仿宋_GB2312" w:cs="仿宋_GB2312"/>
          <w:b w:val="0"/>
          <w:bCs w:val="0"/>
          <w:color w:val="000000"/>
          <w:szCs w:val="32"/>
          <w:lang w:val="en-US" w:eastAsia="zh-CN"/>
        </w:rPr>
        <w:t>1</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b w:val="0"/>
          <w:bCs w:val="0"/>
          <w:color w:val="333333"/>
          <w:szCs w:val="32"/>
        </w:rPr>
        <w:t>住房保障支出（类）</w:t>
      </w:r>
      <w:r>
        <w:rPr>
          <w:rFonts w:hint="eastAsia" w:ascii="仿宋_GB2312" w:hAnsi="仿宋_GB2312" w:eastAsia="仿宋_GB2312" w:cs="仿宋_GB2312"/>
          <w:b w:val="0"/>
          <w:bCs w:val="0"/>
          <w:szCs w:val="32"/>
        </w:rPr>
        <w:t>住房改革支出</w:t>
      </w:r>
      <w:r>
        <w:rPr>
          <w:rFonts w:hint="eastAsia" w:ascii="仿宋_GB2312" w:hAnsi="仿宋_GB2312" w:eastAsia="仿宋_GB2312" w:cs="仿宋_GB2312"/>
          <w:b w:val="0"/>
          <w:bCs w:val="0"/>
          <w:color w:val="333333"/>
          <w:szCs w:val="32"/>
        </w:rPr>
        <w:t>（款）</w:t>
      </w:r>
      <w:r>
        <w:rPr>
          <w:rFonts w:hint="eastAsia" w:ascii="仿宋_GB2312" w:hAnsi="仿宋_GB2312" w:eastAsia="仿宋_GB2312" w:cs="仿宋_GB2312"/>
          <w:b w:val="0"/>
          <w:bCs w:val="0"/>
          <w:szCs w:val="32"/>
        </w:rPr>
        <w:t>住房公积金</w:t>
      </w:r>
      <w:r>
        <w:rPr>
          <w:rFonts w:hint="eastAsia" w:ascii="仿宋_GB2312" w:hAnsi="仿宋_GB2312" w:eastAsia="仿宋_GB2312" w:cs="仿宋_GB2312"/>
          <w:b w:val="0"/>
          <w:bCs w:val="0"/>
          <w:color w:val="333333"/>
          <w:szCs w:val="32"/>
        </w:rPr>
        <w:t>（项）</w:t>
      </w:r>
      <w:r>
        <w:rPr>
          <w:rFonts w:hint="eastAsia" w:ascii="仿宋_GB2312" w:hAnsi="仿宋_GB2312" w:eastAsia="仿宋_GB2312" w:cs="仿宋_GB2312"/>
          <w:b w:val="0"/>
          <w:bCs w:val="0"/>
          <w:color w:val="000000"/>
          <w:szCs w:val="32"/>
        </w:rPr>
        <w:t>：</w:t>
      </w:r>
      <w:r>
        <w:rPr>
          <w:rFonts w:hint="eastAsia" w:ascii="仿宋_GB2312" w:hAnsi="仿宋_GB2312" w:eastAsia="仿宋_GB2312" w:cs="仿宋_GB2312"/>
          <w:color w:val="000000"/>
          <w:szCs w:val="32"/>
        </w:rPr>
        <w:t>指</w:t>
      </w:r>
      <w:r>
        <w:rPr>
          <w:rFonts w:hint="eastAsia" w:ascii="仿宋_GB2312" w:hAnsi="仿宋_GB2312" w:eastAsia="仿宋_GB2312" w:cs="仿宋_GB2312"/>
          <w:color w:val="000000"/>
          <w:szCs w:val="32"/>
          <w:lang w:eastAsia="zh-CN"/>
        </w:rPr>
        <w:t>事业单位按规定的基本工资和津贴补贴及规定比例为职工缴纳的住房公积金</w:t>
      </w:r>
      <w:r>
        <w:rPr>
          <w:rFonts w:hint="eastAsia" w:ascii="仿宋_GB2312" w:hAnsi="仿宋_GB2312" w:eastAsia="仿宋_GB2312" w:cs="仿宋_GB2312"/>
          <w:color w:val="000000"/>
          <w:szCs w:val="32"/>
        </w:rPr>
        <w:t>。</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12</w:t>
      </w:r>
      <w:r>
        <w:rPr>
          <w:rFonts w:hint="eastAsia" w:ascii="仿宋_GB2312" w:hAnsi="仿宋_GB2312" w:eastAsia="仿宋_GB2312" w:cs="仿宋_GB2312"/>
          <w:color w:val="000000"/>
          <w:szCs w:val="32"/>
        </w:rPr>
        <w:t>.基本支出：指为保障机构正常运转、完成日常工作任务而发生的人员支出和公用支出。</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13</w:t>
      </w:r>
      <w:r>
        <w:rPr>
          <w:rFonts w:hint="eastAsia" w:ascii="仿宋_GB2312" w:hAnsi="仿宋_GB2312" w:eastAsia="仿宋_GB2312" w:cs="仿宋_GB2312"/>
          <w:color w:val="000000"/>
          <w:szCs w:val="32"/>
        </w:rPr>
        <w:t xml:space="preserve">.项目支出：指在基本支出之外为完成特定行政任务和事业发展目标所发生的支出。 </w:t>
      </w:r>
    </w:p>
    <w:p>
      <w:pPr>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lang w:val="en-US" w:eastAsia="zh-CN"/>
        </w:rPr>
        <w:t>14</w:t>
      </w:r>
      <w:r>
        <w:rPr>
          <w:rFonts w:hint="eastAsia" w:ascii="仿宋_GB2312" w:hAnsi="仿宋_GB2312" w:eastAsia="仿宋_GB2312" w:cs="仿宋_GB2312"/>
          <w:color w:val="000000"/>
          <w:szCs w:val="32"/>
        </w:rPr>
        <w:t>.经营支出：指事业单位在专业业务活动及其辅助活动之外开展非独立核算经营活动发生的支出。</w:t>
      </w:r>
    </w:p>
    <w:p>
      <w:pPr>
        <w:pStyle w:val="2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Fonts w:hint="eastAsia" w:ascii="仿宋_GB2312" w:hAnsi="仿宋_GB2312" w:eastAsia="仿宋_GB2312" w:cs="仿宋_GB2312"/>
          <w:sz w:val="32"/>
          <w:szCs w:val="32"/>
        </w:rPr>
      </w:pPr>
    </w:p>
    <w:p>
      <w:pPr>
        <w:spacing w:line="600" w:lineRule="exact"/>
        <w:jc w:val="center"/>
        <w:outlineLvl w:val="0"/>
        <w:rPr>
          <w:rFonts w:hint="eastAsia" w:ascii="仿宋_GB2312" w:hAnsi="仿宋_GB2312" w:eastAsia="仿宋_GB2312" w:cs="仿宋_GB2312"/>
        </w:rPr>
      </w:pPr>
      <w:bookmarkStart w:id="52" w:name="_Toc15377226"/>
      <w:r>
        <w:rPr>
          <w:rFonts w:hint="eastAsia" w:ascii="仿宋_GB2312" w:hAnsi="仿宋_GB2312" w:eastAsia="仿宋_GB2312" w:cs="仿宋_GB2312"/>
          <w:b/>
          <w:color w:val="000000"/>
          <w:sz w:val="44"/>
          <w:szCs w:val="44"/>
        </w:rPr>
        <w:br w:type="page"/>
      </w:r>
      <w:bookmarkStart w:id="53" w:name="_Toc15396614"/>
      <w:bookmarkStart w:id="54" w:name="_Toc6879"/>
      <w:r>
        <w:rPr>
          <w:rFonts w:hint="eastAsia" w:ascii="仿宋_GB2312" w:hAnsi="仿宋_GB2312" w:eastAsia="仿宋_GB2312" w:cs="仿宋_GB2312"/>
          <w:color w:val="000000"/>
          <w:sz w:val="44"/>
          <w:szCs w:val="44"/>
        </w:rPr>
        <w:t>第</w:t>
      </w:r>
      <w:r>
        <w:rPr>
          <w:rStyle w:val="17"/>
          <w:rFonts w:hint="eastAsia" w:ascii="仿宋_GB2312" w:hAnsi="仿宋_GB2312" w:eastAsia="仿宋_GB2312" w:cs="仿宋_GB2312"/>
          <w:b w:val="0"/>
        </w:rPr>
        <w:t>四部分 附件</w:t>
      </w:r>
      <w:bookmarkEnd w:id="53"/>
      <w:bookmarkEnd w:id="54"/>
    </w:p>
    <w:p>
      <w:pPr>
        <w:spacing w:line="600" w:lineRule="exact"/>
        <w:jc w:val="left"/>
        <w:outlineLvl w:val="1"/>
        <w:rPr>
          <w:rFonts w:hint="eastAsia" w:ascii="仿宋_GB2312" w:hAnsi="仿宋_GB2312" w:eastAsia="仿宋_GB2312" w:cs="仿宋_GB2312"/>
          <w:szCs w:val="32"/>
        </w:rPr>
      </w:pPr>
      <w:bookmarkStart w:id="55" w:name="_Toc18966"/>
      <w:r>
        <w:rPr>
          <w:rFonts w:hint="eastAsia" w:ascii="仿宋_GB2312" w:hAnsi="仿宋_GB2312" w:eastAsia="仿宋_GB2312" w:cs="仿宋_GB2312"/>
          <w:szCs w:val="32"/>
        </w:rPr>
        <w:t>附件</w:t>
      </w:r>
      <w:bookmarkEnd w:id="55"/>
    </w:p>
    <w:tbl>
      <w:tblPr>
        <w:tblStyle w:val="13"/>
        <w:tblW w:w="9080" w:type="dxa"/>
        <w:jc w:val="center"/>
        <w:tblLayout w:type="fixed"/>
        <w:tblCellMar>
          <w:top w:w="0" w:type="dxa"/>
          <w:left w:w="108" w:type="dxa"/>
          <w:bottom w:w="0" w:type="dxa"/>
          <w:right w:w="108" w:type="dxa"/>
        </w:tblCellMar>
      </w:tblPr>
      <w:tblGrid>
        <w:gridCol w:w="588"/>
        <w:gridCol w:w="980"/>
        <w:gridCol w:w="688"/>
        <w:gridCol w:w="1118"/>
        <w:gridCol w:w="667"/>
        <w:gridCol w:w="490"/>
        <w:gridCol w:w="1168"/>
        <w:gridCol w:w="953"/>
        <w:gridCol w:w="550"/>
        <w:gridCol w:w="319"/>
        <w:gridCol w:w="206"/>
        <w:gridCol w:w="645"/>
        <w:gridCol w:w="708"/>
      </w:tblGrid>
      <w:tr>
        <w:tblPrEx>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keepNext w:val="0"/>
              <w:keepLines w:val="0"/>
              <w:widowControl/>
              <w:suppressLineNumbers w:val="0"/>
              <w:spacing w:before="0" w:beforeAutospacing="0" w:after="0" w:afterAutospacing="0" w:line="320" w:lineRule="exact"/>
              <w:ind w:left="0" w:right="0"/>
              <w:jc w:val="center"/>
              <w:rPr>
                <w:rFonts w:hint="eastAsia" w:ascii="仿宋_GB2312" w:hAnsi="仿宋_GB2312" w:eastAsia="仿宋_GB2312" w:cs="仿宋_GB2312"/>
                <w:b/>
                <w:bCs/>
                <w:kern w:val="0"/>
                <w:szCs w:val="30"/>
              </w:rPr>
            </w:pPr>
            <w:r>
              <w:rPr>
                <w:rFonts w:hint="eastAsia" w:ascii="仿宋_GB2312" w:hAnsi="仿宋_GB2312" w:eastAsia="仿宋_GB2312" w:cs="仿宋_GB2312"/>
                <w:bCs/>
                <w:color w:val="000000"/>
                <w:kern w:val="0"/>
                <w:sz w:val="30"/>
                <w:szCs w:val="30"/>
              </w:rPr>
              <w:t>市级项目支出绩效自评表</w:t>
            </w:r>
          </w:p>
        </w:tc>
      </w:tr>
      <w:tr>
        <w:tblPrEx>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（20</w:t>
            </w:r>
            <w:r>
              <w:rPr>
                <w:rFonts w:hint="eastAsia" w:ascii="仿宋_GB2312" w:hAnsi="仿宋_GB2312" w:eastAsia="仿宋_GB2312" w:cs="仿宋_GB2312"/>
                <w:kern w:val="0"/>
                <w:sz w:val="22"/>
                <w:lang w:val="en-US" w:eastAsia="zh-CN"/>
              </w:rPr>
              <w:t>21</w:t>
            </w:r>
            <w:r>
              <w:rPr>
                <w:rFonts w:hint="eastAsia" w:ascii="仿宋_GB2312" w:hAnsi="仿宋_GB2312" w:eastAsia="仿宋_GB2312" w:cs="仿宋_GB2312"/>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项目名称</w:t>
            </w:r>
          </w:p>
        </w:tc>
        <w:tc>
          <w:tcPr>
            <w:tcW w:w="7512" w:type="dxa"/>
            <w:gridSpan w:val="11"/>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廉政教育中心（留置中心）运转经费</w:t>
            </w:r>
          </w:p>
        </w:tc>
      </w:tr>
      <w:tr>
        <w:tblPrEx>
          <w:tblCellMar>
            <w:top w:w="0" w:type="dxa"/>
            <w:left w:w="108" w:type="dxa"/>
            <w:bottom w:w="0" w:type="dxa"/>
            <w:right w:w="108" w:type="dxa"/>
          </w:tblCellMar>
        </w:tblPrEx>
        <w:trPr>
          <w:trHeight w:val="463"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主管部门</w:t>
            </w:r>
          </w:p>
        </w:tc>
        <w:tc>
          <w:tcPr>
            <w:tcW w:w="4131"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中共自贡市纪律检查委员会</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实施单位</w:t>
            </w:r>
          </w:p>
        </w:tc>
        <w:tc>
          <w:tcPr>
            <w:tcW w:w="2428"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自贡市纪委监委廉政教育中心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项目资金</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（万元）</w:t>
            </w: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15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年初预算数</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全年预算数</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全年执行数</w:t>
            </w:r>
          </w:p>
        </w:tc>
        <w:tc>
          <w:tcPr>
            <w:tcW w:w="86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执行率</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年度资金总额</w:t>
            </w:r>
          </w:p>
        </w:tc>
        <w:tc>
          <w:tcPr>
            <w:tcW w:w="115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270</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270</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299.2</w:t>
            </w:r>
          </w:p>
        </w:tc>
        <w:tc>
          <w:tcPr>
            <w:tcW w:w="86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100%</w:t>
            </w: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其中：当年财政拨款</w:t>
            </w:r>
          </w:p>
        </w:tc>
        <w:tc>
          <w:tcPr>
            <w:tcW w:w="115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270</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270</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299.2</w:t>
            </w:r>
          </w:p>
        </w:tc>
        <w:tc>
          <w:tcPr>
            <w:tcW w:w="86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上年结转资金</w:t>
            </w:r>
          </w:p>
        </w:tc>
        <w:tc>
          <w:tcPr>
            <w:tcW w:w="115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86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80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其他资金</w:t>
            </w:r>
          </w:p>
        </w:tc>
        <w:tc>
          <w:tcPr>
            <w:tcW w:w="115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116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0</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869"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70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年度总体目标</w:t>
            </w:r>
          </w:p>
        </w:tc>
        <w:tc>
          <w:tcPr>
            <w:tcW w:w="5111"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预期目标</w:t>
            </w:r>
          </w:p>
        </w:tc>
        <w:tc>
          <w:tcPr>
            <w:tcW w:w="3381"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实际完成情况</w:t>
            </w:r>
          </w:p>
        </w:tc>
      </w:tr>
      <w:tr>
        <w:tblPrEx>
          <w:tblCellMar>
            <w:top w:w="0" w:type="dxa"/>
            <w:left w:w="108" w:type="dxa"/>
            <w:bottom w:w="0" w:type="dxa"/>
            <w:right w:w="108" w:type="dxa"/>
          </w:tblCellMar>
        </w:tblPrEx>
        <w:trPr>
          <w:trHeight w:val="1814"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5111"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完成党风廉政建设和反腐败教育服务保障工作，完成组织实施对象收置、日常管理、安全保卫工作。</w:t>
            </w:r>
          </w:p>
        </w:tc>
        <w:tc>
          <w:tcPr>
            <w:tcW w:w="3381"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val="en-US" w:eastAsia="zh-CN" w:bidi="ar-SA"/>
              </w:rPr>
            </w:pPr>
            <w:r>
              <w:rPr>
                <w:rFonts w:hint="eastAsia" w:ascii="仿宋_GB2312" w:hAnsi="仿宋_GB2312" w:eastAsia="仿宋_GB2312" w:cs="仿宋_GB2312"/>
                <w:kern w:val="0"/>
                <w:sz w:val="18"/>
                <w:szCs w:val="18"/>
                <w:lang w:val="en-US" w:eastAsia="zh-CN" w:bidi="ar-SA"/>
              </w:rPr>
              <w:t>负责留置场所和市本级“走读式”谈话场所的日常管理、安全保卫和运行保障全面工作；切实保障了留置场所的安全高效运转，为各专案组提供更为周到细致的后勤保障服务，为基地后勤保障工作提供有品质、更高效地服务，推动军事化管理、星级化服务迈上新的台阶。</w:t>
            </w:r>
          </w:p>
        </w:tc>
      </w:tr>
      <w:tr>
        <w:tblPrEx>
          <w:tblCellMar>
            <w:top w:w="0" w:type="dxa"/>
            <w:left w:w="108" w:type="dxa"/>
            <w:bottom w:w="0" w:type="dxa"/>
            <w:right w:w="108" w:type="dxa"/>
          </w:tblCellMar>
        </w:tblPrEx>
        <w:trPr>
          <w:trHeight w:val="497" w:hRule="exact"/>
          <w:jc w:val="center"/>
        </w:trPr>
        <w:tc>
          <w:tcPr>
            <w:tcW w:w="58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绩</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效</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rPr>
              <w:t>指</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标</w:t>
            </w:r>
          </w:p>
        </w:tc>
        <w:tc>
          <w:tcPr>
            <w:tcW w:w="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一级指标</w:t>
            </w:r>
          </w:p>
        </w:tc>
        <w:tc>
          <w:tcPr>
            <w:tcW w:w="68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二级指标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三级指标</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年度</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指标值</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实际</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完成值</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分值</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得分</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偏差原因分析及改进措施</w:t>
            </w:r>
          </w:p>
        </w:tc>
      </w:tr>
      <w:tr>
        <w:tblPrEx>
          <w:tblCellMar>
            <w:top w:w="0" w:type="dxa"/>
            <w:left w:w="108" w:type="dxa"/>
            <w:bottom w:w="0" w:type="dxa"/>
            <w:right w:w="108" w:type="dxa"/>
          </w:tblCellMar>
        </w:tblPrEx>
        <w:trPr>
          <w:trHeight w:val="106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完成指标（分值共50分）</w:t>
            </w: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数量指标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收置留置对象，为专案组、看护队伍、留置对象提供后勤保障。</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预算237万元</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完成度100%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99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质量指标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保障留置场所的日常运转，牢牢守住审查调查安全底线。</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确保留置场所的管理、监督工作，依纪依法做好纪检监察工作。</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时效指标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留置场所日常安保维稳处突。</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确保留置场所安全运转。</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84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成本指标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指导管理物业公司完成安保、食堂、住宿等后勤保障工作。</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推动各部门完成后勤保障相关工作。</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8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效益指标（分值共30分）</w:t>
            </w: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经济效益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无</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rPr>
            </w:pP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eastAsia="zh-CN"/>
              </w:rPr>
            </w:pPr>
          </w:p>
        </w:tc>
      </w:tr>
      <w:tr>
        <w:tblPrEx>
          <w:tblCellMar>
            <w:top w:w="0" w:type="dxa"/>
            <w:left w:w="108" w:type="dxa"/>
            <w:bottom w:w="0" w:type="dxa"/>
            <w:right w:w="108" w:type="dxa"/>
          </w:tblCellMar>
        </w:tblPrEx>
        <w:trPr>
          <w:trHeight w:val="105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完成党风廉政建设和党员干部培训工作。</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完成廉政教育展厅展板内容更新，党员干部满意度超过</w:t>
            </w:r>
            <w:r>
              <w:rPr>
                <w:rFonts w:hint="eastAsia" w:ascii="仿宋_GB2312" w:hAnsi="仿宋_GB2312" w:eastAsia="仿宋_GB2312" w:cs="仿宋_GB2312"/>
                <w:kern w:val="0"/>
                <w:sz w:val="18"/>
                <w:szCs w:val="18"/>
                <w:lang w:val="en-US" w:eastAsia="zh-CN"/>
              </w:rPr>
              <w:t>90%</w:t>
            </w:r>
            <w:r>
              <w:rPr>
                <w:rFonts w:hint="eastAsia" w:ascii="仿宋_GB2312" w:hAnsi="仿宋_GB2312" w:eastAsia="仿宋_GB2312" w:cs="仿宋_GB2312"/>
                <w:kern w:val="0"/>
                <w:sz w:val="18"/>
                <w:szCs w:val="18"/>
                <w:lang w:eastAsia="zh-CN"/>
              </w:rPr>
              <w:t>。</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139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生态效益</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开展排查安全隐患，防范用电、用气、消防事故。</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定期开展应急演练，提升风险应对能力。</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120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可持续影响指标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利用廉政教育展厅，开展党员警示教育，增强防腐拒变的能力。</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收集各个参观单位对廉政教育建设的建议。</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690"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满意度</w:t>
            </w:r>
          </w:p>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指标（分值共10分）</w:t>
            </w:r>
          </w:p>
        </w:tc>
        <w:tc>
          <w:tcPr>
            <w:tcW w:w="688"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服务对象满意度指标</w:t>
            </w: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参观对象满意度</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不低于</w:t>
            </w:r>
            <w:r>
              <w:rPr>
                <w:rFonts w:hint="eastAsia" w:ascii="仿宋_GB2312" w:hAnsi="仿宋_GB2312" w:eastAsia="仿宋_GB2312" w:cs="仿宋_GB2312"/>
                <w:kern w:val="0"/>
                <w:sz w:val="18"/>
                <w:szCs w:val="18"/>
                <w:lang w:val="en-US" w:eastAsia="zh-CN"/>
              </w:rPr>
              <w:t>90%</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98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68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c>
          <w:tcPr>
            <w:tcW w:w="178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专案组人员和看护人员满意度</w:t>
            </w:r>
          </w:p>
        </w:tc>
        <w:tc>
          <w:tcPr>
            <w:tcW w:w="1658"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不低于</w:t>
            </w:r>
            <w:r>
              <w:rPr>
                <w:rFonts w:hint="eastAsia" w:ascii="仿宋_GB2312" w:hAnsi="仿宋_GB2312" w:eastAsia="仿宋_GB2312" w:cs="仿宋_GB2312"/>
                <w:kern w:val="0"/>
                <w:sz w:val="18"/>
                <w:szCs w:val="18"/>
                <w:lang w:val="en-US" w:eastAsia="zh-CN"/>
              </w:rPr>
              <w:t>90%</w:t>
            </w:r>
          </w:p>
        </w:tc>
        <w:tc>
          <w:tcPr>
            <w:tcW w:w="953"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完成度</w:t>
            </w:r>
            <w:r>
              <w:rPr>
                <w:rFonts w:hint="eastAsia" w:ascii="仿宋_GB2312" w:hAnsi="仿宋_GB2312" w:eastAsia="仿宋_GB2312" w:cs="仿宋_GB2312"/>
                <w:kern w:val="0"/>
                <w:sz w:val="18"/>
                <w:szCs w:val="18"/>
                <w:lang w:val="en-US" w:eastAsia="zh-CN"/>
              </w:rPr>
              <w:t>100%</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r>
        <w:tblPrEx>
          <w:tblCellMar>
            <w:top w:w="0" w:type="dxa"/>
            <w:left w:w="108" w:type="dxa"/>
            <w:bottom w:w="0" w:type="dxa"/>
            <w:right w:w="108" w:type="dxa"/>
          </w:tblCellMar>
        </w:tblPrEx>
        <w:trPr>
          <w:trHeight w:val="300" w:hRule="exact"/>
          <w:jc w:val="center"/>
        </w:trPr>
        <w:tc>
          <w:tcPr>
            <w:tcW w:w="6652"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总分</w:t>
            </w:r>
          </w:p>
        </w:tc>
        <w:tc>
          <w:tcPr>
            <w:tcW w:w="55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525"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13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_GB2312" w:eastAsia="仿宋_GB2312" w:cs="仿宋_GB2312"/>
                <w:kern w:val="0"/>
                <w:sz w:val="18"/>
                <w:szCs w:val="18"/>
              </w:rPr>
            </w:pPr>
          </w:p>
        </w:tc>
      </w:tr>
    </w:tbl>
    <w:p>
      <w:pPr>
        <w:widowControl/>
        <w:spacing w:line="240" w:lineRule="exact"/>
        <w:ind w:firstLine="360" w:firstLineChars="200"/>
        <w:rPr>
          <w:rFonts w:hint="eastAsia" w:ascii="仿宋_GB2312" w:hAnsi="仿宋_GB2312" w:eastAsia="仿宋_GB2312" w:cs="仿宋_GB2312"/>
          <w:szCs w:val="32"/>
        </w:rPr>
      </w:pPr>
      <w:r>
        <w:rPr>
          <w:rFonts w:hint="eastAsia" w:ascii="仿宋_GB2312" w:hAnsi="仿宋_GB2312" w:eastAsia="仿宋_GB2312" w:cs="仿宋_GB2312"/>
          <w:kern w:val="0"/>
          <w:sz w:val="18"/>
          <w:szCs w:val="18"/>
        </w:rPr>
        <w:t>备注：预算执行分值为10分、产出指标分值为50分、效益指标分值为30分、满意度指标分值为1</w:t>
      </w:r>
      <w:r>
        <w:rPr>
          <w:rFonts w:hint="eastAsia" w:ascii="仿宋_GB2312" w:hAnsi="仿宋_GB2312" w:eastAsia="仿宋_GB2312" w:cs="仿宋_GB2312"/>
          <w:kern w:val="0"/>
          <w:sz w:val="18"/>
          <w:szCs w:val="18"/>
          <w:lang w:val="en-US" w:eastAsia="zh-CN"/>
        </w:rPr>
        <w:t>0</w:t>
      </w:r>
      <w:r>
        <w:rPr>
          <w:rFonts w:hint="eastAsia" w:ascii="仿宋_GB2312" w:hAnsi="仿宋_GB2312" w:eastAsia="仿宋_GB2312" w:cs="仿宋_GB2312"/>
          <w:kern w:val="0"/>
          <w:sz w:val="18"/>
          <w:szCs w:val="18"/>
        </w:rPr>
        <w:t>分。</w:t>
      </w:r>
    </w:p>
    <w:p>
      <w:pPr>
        <w:widowControl/>
        <w:jc w:val="left"/>
        <w:rPr>
          <w:rStyle w:val="17"/>
          <w:rFonts w:hint="eastAsia" w:ascii="仿宋_GB2312" w:hAnsi="仿宋_GB2312" w:eastAsia="仿宋_GB2312" w:cs="仿宋_GB2312"/>
          <w:b w:val="0"/>
        </w:rPr>
      </w:pPr>
      <w:r>
        <w:rPr>
          <w:rStyle w:val="17"/>
          <w:rFonts w:hint="eastAsia" w:ascii="仿宋_GB2312" w:hAnsi="仿宋_GB2312" w:eastAsia="仿宋_GB2312" w:cs="仿宋_GB2312"/>
          <w:b w:val="0"/>
        </w:rPr>
        <w:br w:type="page"/>
      </w:r>
    </w:p>
    <w:p>
      <w:pPr>
        <w:spacing w:line="600" w:lineRule="exact"/>
        <w:jc w:val="center"/>
        <w:outlineLvl w:val="0"/>
        <w:rPr>
          <w:rStyle w:val="17"/>
          <w:rFonts w:hint="eastAsia" w:ascii="仿宋_GB2312" w:hAnsi="仿宋_GB2312" w:eastAsia="仿宋_GB2312" w:cs="仿宋_GB2312"/>
          <w:b w:val="0"/>
        </w:rPr>
      </w:pPr>
      <w:bookmarkStart w:id="56" w:name="_Toc18418"/>
      <w:bookmarkStart w:id="57" w:name="_Toc15396618"/>
      <w:r>
        <w:rPr>
          <w:rFonts w:hint="eastAsia" w:ascii="仿宋_GB2312" w:hAnsi="仿宋_GB2312" w:eastAsia="仿宋_GB2312" w:cs="仿宋_GB2312"/>
          <w:color w:val="000000"/>
          <w:sz w:val="44"/>
          <w:szCs w:val="44"/>
        </w:rPr>
        <w:t>第</w:t>
      </w:r>
      <w:r>
        <w:rPr>
          <w:rStyle w:val="17"/>
          <w:rFonts w:hint="eastAsia" w:ascii="仿宋_GB2312" w:hAnsi="仿宋_GB2312" w:eastAsia="仿宋_GB2312" w:cs="仿宋_GB2312"/>
          <w:b w:val="0"/>
        </w:rPr>
        <w:t>五部分 附表</w:t>
      </w:r>
      <w:bookmarkEnd w:id="52"/>
      <w:bookmarkEnd w:id="56"/>
      <w:bookmarkEnd w:id="57"/>
    </w:p>
    <w:p>
      <w:pPr>
        <w:spacing w:line="600" w:lineRule="exact"/>
        <w:jc w:val="center"/>
        <w:outlineLvl w:val="0"/>
        <w:rPr>
          <w:rFonts w:hint="eastAsia" w:ascii="仿宋_GB2312" w:hAnsi="仿宋_GB2312" w:eastAsia="仿宋_GB2312" w:cs="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58" w:name="_Toc14600"/>
      <w:bookmarkStart w:id="59" w:name="_Toc15396619"/>
      <w:r>
        <w:rPr>
          <w:rFonts w:hint="eastAsia" w:ascii="仿宋_GB2312" w:hAnsi="仿宋_GB2312" w:eastAsia="仿宋_GB2312" w:cs="仿宋_GB2312"/>
        </w:rPr>
        <w:t>一、收入支出决算总表</w:t>
      </w:r>
      <w:bookmarkEnd w:id="58"/>
      <w:bookmarkEnd w:id="5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60" w:name="_Toc15925"/>
      <w:bookmarkStart w:id="61" w:name="_Toc15396620"/>
      <w:r>
        <w:rPr>
          <w:rFonts w:hint="eastAsia" w:ascii="仿宋_GB2312" w:hAnsi="仿宋_GB2312" w:eastAsia="仿宋_GB2312" w:cs="仿宋_GB2312"/>
        </w:rPr>
        <w:t>二、收入决算表</w:t>
      </w:r>
      <w:bookmarkEnd w:id="60"/>
      <w:bookmarkEnd w:id="6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62" w:name="_Toc7187"/>
      <w:bookmarkStart w:id="63" w:name="_Toc15396621"/>
      <w:r>
        <w:rPr>
          <w:rFonts w:hint="eastAsia" w:ascii="仿宋_GB2312" w:hAnsi="仿宋_GB2312" w:eastAsia="仿宋_GB2312" w:cs="仿宋_GB2312"/>
        </w:rPr>
        <w:t>三、支出决算表</w:t>
      </w:r>
      <w:bookmarkEnd w:id="62"/>
      <w:bookmarkEnd w:id="6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64" w:name="_Toc5686"/>
      <w:bookmarkStart w:id="65" w:name="_Toc15396622"/>
      <w:r>
        <w:rPr>
          <w:rFonts w:hint="eastAsia" w:ascii="仿宋_GB2312" w:hAnsi="仿宋_GB2312" w:eastAsia="仿宋_GB2312" w:cs="仿宋_GB2312"/>
        </w:rPr>
        <w:t>四、财政拨款收入支出决算总表</w:t>
      </w:r>
      <w:bookmarkEnd w:id="64"/>
      <w:bookmarkEnd w:id="6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66" w:name="_Toc6343"/>
      <w:bookmarkStart w:id="67" w:name="_Toc15396623"/>
      <w:r>
        <w:rPr>
          <w:rFonts w:hint="eastAsia" w:ascii="仿宋_GB2312" w:hAnsi="仿宋_GB2312" w:eastAsia="仿宋_GB2312" w:cs="仿宋_GB2312"/>
        </w:rPr>
        <w:t>五、财政拨款支出决算明细表</w:t>
      </w:r>
      <w:bookmarkEnd w:id="66"/>
      <w:bookmarkEnd w:id="67"/>
      <w:bookmarkStart w:id="68" w:name="_Toc15396624"/>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69" w:name="_Toc31131"/>
      <w:r>
        <w:rPr>
          <w:rFonts w:hint="eastAsia" w:ascii="仿宋_GB2312" w:hAnsi="仿宋_GB2312" w:eastAsia="仿宋_GB2312" w:cs="仿宋_GB2312"/>
        </w:rPr>
        <w:t>六、一般公共预算财政拨款支出决算表</w:t>
      </w:r>
      <w:bookmarkEnd w:id="68"/>
      <w:bookmarkEnd w:id="6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70" w:name="_Toc15396625"/>
      <w:bookmarkStart w:id="71" w:name="_Toc11064"/>
      <w:r>
        <w:rPr>
          <w:rFonts w:hint="eastAsia" w:ascii="仿宋_GB2312" w:hAnsi="仿宋_GB2312" w:eastAsia="仿宋_GB2312" w:cs="仿宋_GB2312"/>
        </w:rPr>
        <w:t>七、一般公共预算财政拨款支出决算明细表</w:t>
      </w:r>
      <w:bookmarkEnd w:id="70"/>
      <w:bookmarkEnd w:id="7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72" w:name="_Toc15396626"/>
      <w:bookmarkStart w:id="73" w:name="_Toc12549"/>
      <w:r>
        <w:rPr>
          <w:rFonts w:hint="eastAsia" w:ascii="仿宋_GB2312" w:hAnsi="仿宋_GB2312" w:eastAsia="仿宋_GB2312" w:cs="仿宋_GB2312"/>
        </w:rPr>
        <w:t>八、一般公共预算财政拨款基本支出决算表</w:t>
      </w:r>
      <w:bookmarkEnd w:id="72"/>
      <w:bookmarkEnd w:id="7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74" w:name="_Toc19168"/>
      <w:bookmarkStart w:id="75" w:name="_Toc15396627"/>
      <w:r>
        <w:rPr>
          <w:rFonts w:hint="eastAsia" w:ascii="仿宋_GB2312" w:hAnsi="仿宋_GB2312" w:eastAsia="仿宋_GB2312" w:cs="仿宋_GB2312"/>
        </w:rPr>
        <w:t>九、一般公共预算财政拨款项目支出决算表</w:t>
      </w:r>
      <w:bookmarkEnd w:id="74"/>
      <w:bookmarkEnd w:id="75"/>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76" w:name="_Toc15396628"/>
      <w:bookmarkStart w:id="77" w:name="_Toc18941"/>
      <w:r>
        <w:rPr>
          <w:rFonts w:hint="eastAsia" w:ascii="仿宋_GB2312" w:hAnsi="仿宋_GB2312" w:eastAsia="仿宋_GB2312" w:cs="仿宋_GB2312"/>
        </w:rPr>
        <w:t>十、一般公共预算财政拨款“三公”经费支出决算表</w:t>
      </w:r>
      <w:bookmarkEnd w:id="76"/>
      <w:bookmarkEnd w:id="77"/>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78" w:name="_Toc15180"/>
      <w:bookmarkStart w:id="79" w:name="_Toc15396629"/>
      <w:r>
        <w:rPr>
          <w:rFonts w:hint="eastAsia" w:ascii="仿宋_GB2312" w:hAnsi="仿宋_GB2312" w:eastAsia="仿宋_GB2312" w:cs="仿宋_GB2312"/>
        </w:rPr>
        <w:t>十一、政府性基金预算财政拨款收入支出决算表</w:t>
      </w:r>
      <w:bookmarkEnd w:id="78"/>
      <w:bookmarkEnd w:id="7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80" w:name="_Toc23897"/>
      <w:bookmarkStart w:id="81" w:name="_Toc15396630"/>
      <w:r>
        <w:rPr>
          <w:rFonts w:hint="eastAsia" w:ascii="仿宋_GB2312" w:hAnsi="仿宋_GB2312" w:eastAsia="仿宋_GB2312" w:cs="仿宋_GB2312"/>
        </w:rPr>
        <w:t>十二、政府性基金预算财政拨款“三公”经费支出决算表</w:t>
      </w:r>
      <w:bookmarkEnd w:id="80"/>
      <w:bookmarkEnd w:id="81"/>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82" w:name="_Toc3960"/>
      <w:r>
        <w:rPr>
          <w:rFonts w:hint="eastAsia" w:ascii="仿宋_GB2312" w:hAnsi="仿宋_GB2312" w:eastAsia="仿宋_GB2312" w:cs="仿宋_GB2312"/>
        </w:rPr>
        <w:t>十三、国有资本经营预算财政拨款收入支出决算表</w:t>
      </w:r>
      <w:bookmarkEnd w:id="8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rPr>
      </w:pPr>
      <w:bookmarkStart w:id="83" w:name="_Toc441"/>
      <w:r>
        <w:rPr>
          <w:rFonts w:hint="eastAsia" w:ascii="仿宋_GB2312" w:hAnsi="仿宋_GB2312" w:eastAsia="仿宋_GB2312" w:cs="仿宋_GB2312"/>
        </w:rPr>
        <w:t>十四、国有资本经营预算财政拨款支出决算表</w:t>
      </w:r>
      <w:bookmarkEnd w:id="8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fill on="f" focussize="0,0"/>
              <v:stroke on="f"/>
              <v:imagedata o:title=""/>
              <o:lock v:ext="edit" aspectratio="f"/>
              <v:textbox inset="0mm,0mm,0mm,0mm" style="mso-fit-shape-to-text:t;">
                <w:txbxContent>
                  <w:p>
                    <w:pPr>
                      <w:pStyle w:val="8"/>
                    </w:pPr>
                    <w: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A42D7"/>
    <w:multiLevelType w:val="singleLevel"/>
    <w:tmpl w:val="BFAA42D7"/>
    <w:lvl w:ilvl="0" w:tentative="0">
      <w:start w:val="1"/>
      <w:numFmt w:val="chineseCounting"/>
      <w:suff w:val="nothing"/>
      <w:lvlText w:val="（%1）"/>
      <w:lvlJc w:val="left"/>
      <w:pPr>
        <w:ind w:left="640"/>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6348C87B"/>
    <w:multiLevelType w:val="singleLevel"/>
    <w:tmpl w:val="6348C87B"/>
    <w:lvl w:ilvl="0" w:tentative="0">
      <w:start w:val="3"/>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YmIyZjRlMDI5YTFhOTkxODgwZmU5YzIxYzlmZTMifQ=="/>
  </w:docVars>
  <w:rsids>
    <w:rsidRoot w:val="6504078C"/>
    <w:rsid w:val="008E7273"/>
    <w:rsid w:val="00EC413B"/>
    <w:rsid w:val="00F17409"/>
    <w:rsid w:val="062E27D0"/>
    <w:rsid w:val="06D96529"/>
    <w:rsid w:val="092F48E4"/>
    <w:rsid w:val="0AB9552D"/>
    <w:rsid w:val="174A0591"/>
    <w:rsid w:val="17625C3F"/>
    <w:rsid w:val="2267328A"/>
    <w:rsid w:val="2E3710A8"/>
    <w:rsid w:val="326B42B6"/>
    <w:rsid w:val="3E4169FF"/>
    <w:rsid w:val="3F9A05DB"/>
    <w:rsid w:val="4153125A"/>
    <w:rsid w:val="42D62826"/>
    <w:rsid w:val="47BD0CAB"/>
    <w:rsid w:val="50965447"/>
    <w:rsid w:val="53AC47FA"/>
    <w:rsid w:val="55390FC4"/>
    <w:rsid w:val="554301DC"/>
    <w:rsid w:val="56024E9F"/>
    <w:rsid w:val="56774470"/>
    <w:rsid w:val="569C7C33"/>
    <w:rsid w:val="59294F32"/>
    <w:rsid w:val="593E3B13"/>
    <w:rsid w:val="5B4628EE"/>
    <w:rsid w:val="5D3E75DF"/>
    <w:rsid w:val="6504078C"/>
    <w:rsid w:val="659830BF"/>
    <w:rsid w:val="66B55A54"/>
    <w:rsid w:val="6A0B7982"/>
    <w:rsid w:val="6AFF2DD6"/>
    <w:rsid w:val="6F475E53"/>
    <w:rsid w:val="71133323"/>
    <w:rsid w:val="726E3979"/>
    <w:rsid w:val="747D4DEF"/>
    <w:rsid w:val="78827CFD"/>
    <w:rsid w:val="788E4A9C"/>
    <w:rsid w:val="7F236687"/>
    <w:rsid w:val="B7DF065C"/>
    <w:rsid w:val="FEF7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1"/>
    <w:unhideWhenUsed/>
    <w:qFormat/>
    <w:uiPriority w:val="9"/>
    <w:pPr>
      <w:keepNext/>
      <w:keepLines/>
      <w:spacing w:before="260" w:after="260" w:line="416" w:lineRule="auto"/>
      <w:outlineLvl w:val="1"/>
    </w:pPr>
    <w:rPr>
      <w:rFonts w:ascii="Cambria" w:hAnsi="Cambria"/>
      <w:b/>
      <w:bCs/>
      <w:szCs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line="240" w:lineRule="auto"/>
      <w:ind w:left="420" w:leftChars="200" w:firstLine="420"/>
    </w:pPr>
  </w:style>
  <w:style w:type="paragraph" w:styleId="3">
    <w:name w:val="Body Text Indent"/>
    <w:basedOn w:val="1"/>
    <w:qFormat/>
    <w:uiPriority w:val="0"/>
    <w:pPr>
      <w:spacing w:line="560" w:lineRule="exact"/>
      <w:ind w:firstLine="640" w:firstLineChars="200"/>
    </w:pPr>
  </w:style>
  <w:style w:type="paragraph" w:styleId="4">
    <w:name w:val="index 5"/>
    <w:basedOn w:val="1"/>
    <w:next w:val="1"/>
    <w:qFormat/>
    <w:uiPriority w:val="0"/>
    <w:pPr>
      <w:ind w:left="1680"/>
    </w:pPr>
  </w:style>
  <w:style w:type="paragraph" w:styleId="7">
    <w:name w:val="Body Text"/>
    <w:basedOn w:val="1"/>
    <w:qFormat/>
    <w:uiPriority w:val="99"/>
    <w:pPr>
      <w:spacing w:beforeLines="30"/>
    </w:pPr>
    <w:rPr>
      <w:rFonts w:ascii="仿宋_GB2312"/>
      <w:kern w:val="0"/>
      <w:sz w:val="24"/>
      <w:szCs w:val="20"/>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99"/>
    <w:rPr>
      <w:rFonts w:cs="Times New Roman"/>
      <w:b/>
    </w:rPr>
  </w:style>
  <w:style w:type="character" w:styleId="16">
    <w:name w:val="Hyperlink"/>
    <w:unhideWhenUsed/>
    <w:qFormat/>
    <w:uiPriority w:val="99"/>
    <w:rPr>
      <w:color w:val="0000FF"/>
      <w:u w:val="single"/>
    </w:rPr>
  </w:style>
  <w:style w:type="character" w:customStyle="1" w:styleId="17">
    <w:name w:val="标题 1 字符"/>
    <w:basedOn w:val="14"/>
    <w:link w:val="5"/>
    <w:qFormat/>
    <w:locked/>
    <w:uiPriority w:val="9"/>
    <w:rPr>
      <w:b/>
      <w:bCs/>
      <w:kern w:val="44"/>
      <w:sz w:val="44"/>
      <w:szCs w:val="44"/>
    </w:rPr>
  </w:style>
  <w:style w:type="character" w:customStyle="1" w:styleId="18">
    <w:name w:val="Char Char5"/>
    <w:basedOn w:val="14"/>
    <w:qFormat/>
    <w:locked/>
    <w:uiPriority w:val="9"/>
    <w:rPr>
      <w:rFonts w:ascii="Cambria" w:hAnsi="Cambria"/>
      <w:b/>
      <w:bCs/>
      <w:sz w:val="32"/>
      <w:szCs w:val="32"/>
    </w:rPr>
  </w:style>
  <w:style w:type="paragraph" w:customStyle="1" w:styleId="19">
    <w:name w:val="列表段落1"/>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1">
    <w:name w:val="标题 2 字符"/>
    <w:basedOn w:val="14"/>
    <w:link w:val="6"/>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Sheet1!$B$1</c:f>
              <c:strCache>
                <c:ptCount val="1"/>
                <c:pt idx="0">
                  <c:v>收、支决算总计变动情况图（单位：万元）</c:v>
                </c:pt>
              </c:strCache>
            </c:strRef>
          </c:tx>
          <c:spPr>
            <a:solidFill>
              <a:schemeClr val="accent1"/>
            </a:solidFill>
            <a:ln>
              <a:noFill/>
            </a:ln>
            <a:effectLst/>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509.02</c:v>
                </c:pt>
                <c:pt idx="1">
                  <c:v>442.52</c:v>
                </c:pt>
              </c:numCache>
            </c:numRef>
          </c:val>
        </c:ser>
        <c:dLbls>
          <c:showLegendKey val="0"/>
          <c:showVal val="1"/>
          <c:showCatName val="0"/>
          <c:showSerName val="0"/>
          <c:showPercent val="0"/>
          <c:showBubbleSize val="0"/>
        </c:dLbls>
        <c:gapWidth val="219"/>
        <c:overlap val="-27"/>
        <c:axId val="769486459"/>
        <c:axId val="619662007"/>
      </c:barChart>
      <c:catAx>
        <c:axId val="769486459"/>
        <c:scaling>
          <c:orientation val="minMax"/>
        </c:scaling>
        <c:delete val="0"/>
        <c:axPos val="b"/>
        <c:majorTickMark val="out"/>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662007"/>
        <c:crosses val="autoZero"/>
        <c:auto val="1"/>
        <c:lblAlgn val="ctr"/>
        <c:lblOffset val="100"/>
        <c:noMultiLvlLbl val="0"/>
      </c:catAx>
      <c:valAx>
        <c:axId val="619662007"/>
        <c:scaling>
          <c:orientation val="minMax"/>
          <c:min val="300"/>
        </c:scaling>
        <c:delete val="0"/>
        <c:axPos val="l"/>
        <c:majorGridlines>
          <c:spPr>
            <a:ln w="9525" cap="flat" cmpd="sng" algn="ctr">
              <a:solidFill>
                <a:schemeClr val="tx1"/>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4864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1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1"/>
              <c:layout>
                <c:manualLayout>
                  <c:x val="-0.00844748020026196"/>
                  <c:y val="-0.01134979485064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2490421455939"/>
                  <c:y val="0.1244769874476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91991969936225"/>
                  <c:y val="0.02741498299997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96934865900383"/>
                  <c:y val="0.07635983263598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36973180076628"/>
                  <c:y val="0.112622036262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768548100816471"/>
                  <c:y val="0.05557350565428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strCache>
            </c:strRef>
          </c:cat>
          <c:val>
            <c:numRef>
              <c:f>Sheet1!$B$2:$B$8</c:f>
              <c:numCache>
                <c:formatCode>0%</c:formatCode>
                <c:ptCount val="7"/>
                <c:pt idx="0">
                  <c:v>1</c:v>
                </c:pt>
                <c:pt idx="1">
                  <c:v>0</c:v>
                </c:pt>
                <c:pt idx="2">
                  <c:v>0</c:v>
                </c:pt>
                <c:pt idx="3">
                  <c:v>0</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Entry>
      <c:legendEntry>
        <c:idx val="4"/>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Entry>
      <c:legendEntry>
        <c:idx val="5"/>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Entry>
      <c:layout>
        <c:manualLayout>
          <c:xMode val="edge"/>
          <c:yMode val="edge"/>
          <c:x val="0.559003831417625"/>
          <c:y val="0.302649930264993"/>
          <c:w val="0.418007662835249"/>
          <c:h val="0.619595536959554"/>
        </c:manualLayout>
      </c:layout>
      <c:overlay val="0"/>
      <c:spPr>
        <a:noFill/>
        <a:ln>
          <a:noFill/>
        </a:ln>
        <a:effectLst/>
      </c:spPr>
      <c:txPr>
        <a:bodyPr rot="0" spcFirstLastPara="0" vertOverflow="ellipsis" vert="horz" wrap="square" anchor="ctr" anchorCtr="1"/>
        <a:lstStyle/>
        <a:p>
          <a:pPr>
            <a:defRPr lang="zh-CN" sz="7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7126436781609"/>
          <c:y val="0.0418410041841004"/>
        </c:manualLayout>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1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0.3239</c:v>
                </c:pt>
                <c:pt idx="1">
                  <c:v>0.6761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747318007662835"/>
          <c:y val="0.325662482566248"/>
          <c:w val="0.194252873563218"/>
          <c:h val="0.279986052998605"/>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100" b="1"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Sheet1!$B$1</c:f>
              <c:strCache>
                <c:ptCount val="1"/>
                <c:pt idx="0">
                  <c:v>财政拨款收、支决算总计变动情况（单位：万元）</c:v>
                </c:pt>
              </c:strCache>
            </c:strRef>
          </c:tx>
          <c:spPr>
            <a:solidFill>
              <a:schemeClr val="accent1"/>
            </a:solidFill>
            <a:ln>
              <a:noFill/>
            </a:ln>
            <a:effectLst/>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509.02</c:v>
                </c:pt>
                <c:pt idx="1">
                  <c:v>442.52</c:v>
                </c:pt>
              </c:numCache>
            </c:numRef>
          </c:val>
        </c:ser>
        <c:dLbls>
          <c:showLegendKey val="0"/>
          <c:showVal val="1"/>
          <c:showCatName val="0"/>
          <c:showSerName val="0"/>
          <c:showPercent val="0"/>
          <c:showBubbleSize val="0"/>
        </c:dLbls>
        <c:gapWidth val="219"/>
        <c:overlap val="-27"/>
        <c:axId val="769486459"/>
        <c:axId val="619662007"/>
      </c:barChart>
      <c:catAx>
        <c:axId val="769486459"/>
        <c:scaling>
          <c:orientation val="minMax"/>
        </c:scaling>
        <c:delete val="0"/>
        <c:axPos val="b"/>
        <c:majorTickMark val="out"/>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662007"/>
        <c:crosses val="autoZero"/>
        <c:auto val="1"/>
        <c:lblAlgn val="ctr"/>
        <c:lblOffset val="100"/>
        <c:noMultiLvlLbl val="0"/>
      </c:catAx>
      <c:valAx>
        <c:axId val="619662007"/>
        <c:scaling>
          <c:orientation val="minMax"/>
          <c:min val="300"/>
        </c:scaling>
        <c:delete val="0"/>
        <c:axPos val="l"/>
        <c:majorGridlines>
          <c:spPr>
            <a:ln w="9525" cap="flat" cmpd="sng" algn="ctr">
              <a:solidFill>
                <a:schemeClr val="tx1"/>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4864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00" b="1"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t>一般公共预算财政拨款支出决算变动情况</a:t>
            </a:r>
          </a:p>
          <a:p>
            <a:pPr defTabSz="914400">
              <a:defRPr lang="zh-CN" sz="1100" b="1" i="0" u="none" strike="noStrike" kern="1200" spc="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t>（单位：万元）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一般公共预算财政拨款支出决算变动情况（单位：万元）</c:v>
                </c:pt>
              </c:strCache>
            </c:strRef>
          </c:tx>
          <c:spPr>
            <a:solidFill>
              <a:schemeClr val="accent1"/>
            </a:solidFill>
            <a:ln>
              <a:noFill/>
            </a:ln>
            <a:effectLst/>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509.02</c:v>
                </c:pt>
                <c:pt idx="1">
                  <c:v>442.52</c:v>
                </c:pt>
              </c:numCache>
            </c:numRef>
          </c:val>
        </c:ser>
        <c:dLbls>
          <c:showLegendKey val="0"/>
          <c:showVal val="1"/>
          <c:showCatName val="0"/>
          <c:showSerName val="0"/>
          <c:showPercent val="0"/>
          <c:showBubbleSize val="0"/>
        </c:dLbls>
        <c:gapWidth val="219"/>
        <c:overlap val="-27"/>
        <c:axId val="769486459"/>
        <c:axId val="619662007"/>
      </c:barChart>
      <c:catAx>
        <c:axId val="769486459"/>
        <c:scaling>
          <c:orientation val="minMax"/>
        </c:scaling>
        <c:delete val="0"/>
        <c:axPos val="b"/>
        <c:majorTickMark val="out"/>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9662007"/>
        <c:crosses val="autoZero"/>
        <c:auto val="1"/>
        <c:lblAlgn val="ctr"/>
        <c:lblOffset val="100"/>
        <c:noMultiLvlLbl val="0"/>
      </c:catAx>
      <c:valAx>
        <c:axId val="619662007"/>
        <c:scaling>
          <c:orientation val="minMax"/>
          <c:min val="300"/>
        </c:scaling>
        <c:delete val="0"/>
        <c:axPos val="l"/>
        <c:majorGridlines>
          <c:spPr>
            <a:ln w="9525" cap="flat" cmpd="sng" algn="ctr">
              <a:solidFill>
                <a:schemeClr val="tx1"/>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4864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7126436781609"/>
          <c:y val="0.0418410041841004"/>
        </c:manualLayout>
      </c:layout>
      <c:overlay val="0"/>
      <c:spPr>
        <a:noFill/>
        <a:ln>
          <a:noFill/>
        </a:ln>
        <a:effectLst/>
      </c:spPr>
      <c:txPr>
        <a:bodyPr rot="0" spcFirstLastPara="0" vertOverflow="ellipsis" vert="horz" wrap="square" anchor="ctr" anchorCtr="1"/>
        <a:lstStyle/>
        <a:p>
          <a:pPr>
            <a:defRPr lang="zh-CN" sz="1400" b="1" i="0" u="none" strike="noStrike" kern="1200" spc="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1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37598151919623"/>
                  <c:y val="-0.14238192647976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11743998240188"/>
                  <c:y val="0.09462369602574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5999791776717"/>
                  <c:y val="-0.01125426876334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678591319230095"/>
                  <c:y val="0.013858310951995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0.00%</c:formatCode>
                <c:ptCount val="4"/>
                <c:pt idx="0">
                  <c:v>0.9183</c:v>
                </c:pt>
                <c:pt idx="1">
                  <c:v>0.0438</c:v>
                </c:pt>
                <c:pt idx="2">
                  <c:v>0.0156</c:v>
                </c:pt>
                <c:pt idx="3">
                  <c:v>0.0223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6678</Words>
  <Characters>7178</Characters>
  <Lines>62</Lines>
  <Paragraphs>17</Paragraphs>
  <TotalTime>3</TotalTime>
  <ScaleCrop>false</ScaleCrop>
  <LinksUpToDate>false</LinksUpToDate>
  <CharactersWithSpaces>7245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2021-09-09T03:29:00Z</dcterms:created>
  <dc:creator>Administrator</dc:creator>
  <cp:lastModifiedBy>Administrator</cp:lastModifiedBy>
  <cp:lastPrinted>2022-10-10T04:28:00Z</cp:lastPrinted>
  <dcterms:modified xsi:type="dcterms:W3CDTF">2023-09-18T02:20:31Z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48B3CA4B182A41F09CBF55000F8F9642_13</vt:lpwstr>
  </property>
</Properties>
</file>