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1760" w:firstLineChars="400"/>
        <w:jc w:val="both"/>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中共自贡市纪律检查委员会</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年度部门决算编制的说明</w:t>
      </w:r>
    </w:p>
    <w:p>
      <w:pPr>
        <w:widowControl/>
        <w:jc w:val="center"/>
        <w:rPr>
          <w:rFonts w:hint="eastAsia" w:ascii="黑体" w:hAnsi="黑体" w:eastAsia="黑体"/>
          <w:color w:val="000000"/>
          <w:sz w:val="44"/>
          <w:szCs w:val="44"/>
        </w:rPr>
      </w:pPr>
    </w:p>
    <w:p>
      <w:pPr>
        <w:pStyle w:val="11"/>
        <w:spacing w:line="500" w:lineRule="exact"/>
        <w:jc w:val="center"/>
        <w:rPr>
          <w:rFonts w:hint="eastAsia" w:ascii="黑体" w:hAnsi="黑体" w:eastAsia="黑体" w:cs="黑体"/>
          <w:i w:val="0"/>
          <w:iCs w:val="0"/>
          <w:color w:val="auto"/>
          <w:sz w:val="32"/>
          <w:szCs w:val="22"/>
          <w:lang w:val="en-US" w:eastAsia="zh-CN"/>
        </w:rPr>
      </w:pPr>
      <w:bookmarkStart w:id="0" w:name="_Toc26819"/>
      <w:bookmarkStart w:id="1" w:name="_Toc20783"/>
      <w:bookmarkStart w:id="2" w:name="_Toc22573"/>
      <w:bookmarkStart w:id="3" w:name="_Toc28813"/>
      <w:r>
        <w:rPr>
          <w:rFonts w:hint="eastAsia" w:ascii="黑体" w:hAnsi="黑体" w:eastAsia="黑体" w:cs="黑体"/>
          <w:b/>
          <w:bCs/>
          <w:i w:val="0"/>
          <w:iCs w:val="0"/>
          <w:color w:val="auto"/>
          <w:kern w:val="2"/>
          <w:sz w:val="44"/>
          <w:szCs w:val="44"/>
          <w:highlight w:val="none"/>
          <w:lang w:val="en-US" w:eastAsia="zh-CN" w:bidi="ar-SA"/>
        </w:rPr>
        <w:t>目 录</w:t>
      </w:r>
      <w:bookmarkEnd w:id="0"/>
      <w:bookmarkEnd w:id="1"/>
      <w:bookmarkEnd w:id="2"/>
      <w:bookmarkEnd w:id="3"/>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2168" w:firstLineChars="600"/>
        <w:jc w:val="left"/>
        <w:textAlignment w:val="auto"/>
        <w:outlineLvl w:val="9"/>
        <w:rPr>
          <w:rFonts w:hint="eastAsia" w:ascii="仿宋_GB2312" w:hAnsi="仿宋_GB2312" w:eastAsia="仿宋_GB2312" w:cs="仿宋_GB2312"/>
          <w:b/>
          <w:bCs w:val="0"/>
          <w:i w:val="0"/>
          <w:iCs w:val="0"/>
          <w:caps/>
          <w:kern w:val="2"/>
          <w:sz w:val="24"/>
          <w:szCs w:val="32"/>
          <w:lang w:val="en-US" w:eastAsia="zh-CN" w:bidi="ar-SA"/>
        </w:rPr>
      </w:pPr>
      <w:bookmarkStart w:id="4" w:name="_Toc14269"/>
      <w:bookmarkStart w:id="5" w:name="_Toc6422"/>
      <w:bookmarkStart w:id="6" w:name="_Toc19169"/>
      <w:r>
        <w:rPr>
          <w:rFonts w:hint="eastAsia" w:ascii="仿宋_GB2312" w:hAnsi="仿宋_GB2312" w:eastAsia="仿宋_GB2312" w:cs="仿宋_GB2312"/>
          <w:b/>
          <w:bCs/>
          <w:i w:val="0"/>
          <w:iCs w:val="0"/>
          <w:color w:val="auto"/>
          <w:kern w:val="2"/>
          <w:sz w:val="36"/>
          <w:szCs w:val="36"/>
          <w:highlight w:val="none"/>
          <w:lang w:val="en-US" w:eastAsia="zh-CN" w:bidi="ar-SA"/>
        </w:rPr>
        <w:t>公开时间：2023年9月28日</w:t>
      </w:r>
      <w:bookmarkEnd w:id="4"/>
      <w:bookmarkEnd w:id="5"/>
      <w:bookmarkEnd w:id="6"/>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TOC \o "1-3" \h \u </w:instrText>
      </w:r>
      <w:r>
        <w:rPr>
          <w:rFonts w:hint="eastAsia" w:ascii="仿宋_GB2312" w:hAnsi="仿宋_GB2312" w:eastAsia="仿宋_GB2312" w:cs="仿宋_GB2312"/>
          <w:b w:val="0"/>
          <w:bCs w:val="0"/>
          <w:i w:val="0"/>
          <w:iCs w:val="0"/>
          <w:caps/>
          <w:sz w:val="32"/>
          <w:szCs w:val="32"/>
        </w:rPr>
        <w:fldChar w:fldCharType="separate"/>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_Toc23312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第一部分 部门概况</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_Toc23312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2</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_Toc23760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一、部门职责</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_Toc23760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3</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_Toc10711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二、机构设置</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_Toc10711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3</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_Toc24740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第二部分 2022年度部门决算情况说明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_Toc24740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_Toc15171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一、收入支出决算总体情况说明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_Toc15171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_Toc16184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二、收入决算情况说明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_Toc16184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_Toc6155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三、支出决算情况说明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_Toc6155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5</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_Toc2892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四、财政拨款收入支出决算总体情况说明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_Toc2892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5</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_Toc13283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五、一般公共预算财政拨款支出决算情况说明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_Toc13283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6</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_Toc6729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六、一般公共预算财政拨款基本支出决算情况说明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_Toc6729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8</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_Toc20887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七、“三公”经费财政拨款支出决算情况说明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_Toc20887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_Toc28991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八、政府性基金预算支出决算情况说明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_Toc28991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11</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_Toc27127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九、国有资本经营预算支出决算情况说明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_Toc27127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11</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_Toc2446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十、其他重要事项的情况说明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_Toc2446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11</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_Toc1307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第三部份 名词解释</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_Toc1307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13</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_Toc24019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第四部分 附件</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_Toc24019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15</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_Toc4851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第五部分 附表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_Toc4851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_Toc26031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一、收入支出决算总表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_Toc26031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_Toc22136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二、收入决算表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_Toc22136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_Toc25364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三、支出决算表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_Toc25364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_Toc4747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四、财政拨款收入支出决算总表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_Toc4747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_Toc28084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五、财政拨款支出决算明细表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_Toc28084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300" w:leftChars="0"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_Toc9026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六、一般公共预算财政拨款支出决算表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_Toc9026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300" w:leftChars="0"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_Toc25198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七、一般公共预算财政拨款支出决算明细表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_Toc25198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_Toc9877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八、一般公共预算财政拨款基本支出决算表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_Toc9877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_Toc12683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九、一般公共预算财政拨款项目支出决算表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_Toc12683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_Toc13593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十、政府性基金预算财政拨款收入支出决算表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_Toc13593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_Toc32015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十一、国有资本经营预算财政拨款收入支出决算表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_Toc32015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_Toc11639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十二、国有资本经营预算财政拨款支出决算表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_Toc11639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_Toc17109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十三、财政拨款“三公”经费支出决算表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_Toc17109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before="0" w:after="0" w:line="600" w:lineRule="auto"/>
        <w:ind w:left="0" w:leftChars="0" w:right="0" w:rightChars="0" w:firstLine="1325" w:firstLineChars="300"/>
        <w:jc w:val="left"/>
        <w:textAlignment w:val="auto"/>
        <w:outlineLvl w:val="9"/>
        <w:rPr>
          <w:rFonts w:hint="eastAsia" w:ascii="仿宋_GB2312" w:hAnsi="仿宋_GB2312" w:eastAsia="仿宋_GB2312" w:cs="仿宋_GB2312"/>
          <w:b w:val="0"/>
          <w:bCs w:val="0"/>
          <w:i w:val="0"/>
          <w:iCs w:val="0"/>
          <w:caps/>
          <w:sz w:val="32"/>
          <w:szCs w:val="32"/>
          <w:lang w:val="en-US" w:eastAsia="zh-CN"/>
        </w:rPr>
      </w:pPr>
      <w:r>
        <w:rPr>
          <w:rFonts w:hint="eastAsia" w:ascii="仿宋_GB2312" w:hAnsi="仿宋_GB2312" w:eastAsia="仿宋_GB2312" w:cs="仿宋_GB2312"/>
          <w:bCs w:val="0"/>
          <w:i w:val="0"/>
          <w:iCs w:val="0"/>
          <w:caps/>
          <w:szCs w:val="32"/>
        </w:rPr>
        <w:fldChar w:fldCharType="end"/>
      </w:r>
      <w:bookmarkStart w:id="7" w:name="_Toc23312"/>
      <w:bookmarkStart w:id="8" w:name="_Toc762520288"/>
      <w:r>
        <w:rPr>
          <w:rFonts w:hint="eastAsia" w:ascii="仿宋_GB2312" w:hAnsi="仿宋_GB2312" w:eastAsia="仿宋_GB2312" w:cs="仿宋_GB2312"/>
          <w:b w:val="0"/>
          <w:bCs w:val="0"/>
          <w:i w:val="0"/>
          <w:iCs w:val="0"/>
          <w:caps/>
          <w:sz w:val="32"/>
          <w:szCs w:val="32"/>
          <w:lang w:val="en-US" w:eastAsia="zh-CN"/>
        </w:rPr>
        <w:t xml:space="preserve">   </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before="0" w:after="0" w:line="600" w:lineRule="auto"/>
        <w:ind w:left="0" w:leftChars="0" w:right="0" w:rightChars="0" w:firstLine="960" w:firstLineChars="300"/>
        <w:jc w:val="left"/>
        <w:textAlignment w:val="auto"/>
        <w:outlineLvl w:val="9"/>
        <w:rPr>
          <w:rFonts w:hint="eastAsia" w:ascii="仿宋_GB2312" w:hAnsi="仿宋_GB2312" w:eastAsia="仿宋_GB2312" w:cs="仿宋_GB2312"/>
          <w:b w:val="0"/>
          <w:bCs w:val="0"/>
          <w:i w:val="0"/>
          <w:iCs w:val="0"/>
          <w:caps/>
          <w:sz w:val="32"/>
          <w:szCs w:val="32"/>
          <w:lang w:val="en-US" w:eastAsia="zh-CN"/>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before="0" w:after="0" w:line="360" w:lineRule="auto"/>
        <w:ind w:left="0" w:leftChars="0" w:right="0" w:rightChars="0" w:firstLine="960" w:firstLineChars="300"/>
        <w:jc w:val="left"/>
        <w:textAlignment w:val="auto"/>
        <w:outlineLvl w:val="9"/>
        <w:rPr>
          <w:rFonts w:hint="eastAsia" w:ascii="黑体" w:hAnsi="黑体" w:eastAsia="黑体"/>
          <w:b w:val="0"/>
          <w:lang w:val="en-US" w:eastAsia="zh-CN"/>
        </w:rPr>
      </w:pPr>
      <w:r>
        <w:rPr>
          <w:rFonts w:hint="eastAsia" w:ascii="仿宋_GB2312" w:hAnsi="仿宋_GB2312" w:eastAsia="仿宋_GB2312" w:cs="仿宋_GB2312"/>
          <w:b w:val="0"/>
          <w:bCs w:val="0"/>
          <w:i w:val="0"/>
          <w:iCs w:val="0"/>
          <w:caps/>
          <w:sz w:val="32"/>
          <w:szCs w:val="32"/>
          <w:lang w:val="en-US" w:eastAsia="zh-CN"/>
        </w:rPr>
        <w:t xml:space="preserve">    </w:t>
      </w:r>
      <w:r>
        <w:rPr>
          <w:rFonts w:hint="eastAsia" w:ascii="黑体" w:hAnsi="黑体" w:eastAsia="黑体"/>
          <w:b w:val="0"/>
          <w:lang w:val="en-US" w:eastAsia="zh-CN"/>
        </w:rPr>
        <w:t xml:space="preserve">      第一部分 部门概况</w:t>
      </w:r>
      <w:bookmarkEnd w:id="7"/>
      <w:bookmarkEnd w:id="8"/>
    </w:p>
    <w:p>
      <w:pPr>
        <w:spacing w:line="600" w:lineRule="exact"/>
        <w:ind w:firstLine="640" w:firstLineChars="200"/>
        <w:outlineLvl w:val="1"/>
        <w:rPr>
          <w:rFonts w:hint="eastAsia" w:ascii="黑体" w:hAnsi="黑体" w:eastAsia="黑体"/>
          <w:color w:val="000000"/>
          <w:sz w:val="32"/>
          <w:szCs w:val="32"/>
          <w:lang w:val="en-US" w:eastAsia="zh-CN"/>
        </w:rPr>
      </w:pPr>
      <w:bookmarkStart w:id="9" w:name="_Toc15377197"/>
      <w:bookmarkStart w:id="10" w:name="_Toc15396600"/>
      <w:bookmarkStart w:id="11" w:name="_Toc2144038751"/>
      <w:bookmarkStart w:id="12" w:name="_Toc23760"/>
      <w:r>
        <w:rPr>
          <w:rFonts w:hint="eastAsia" w:ascii="黑体" w:hAnsi="黑体" w:eastAsia="黑体"/>
          <w:color w:val="000000"/>
          <w:sz w:val="32"/>
          <w:szCs w:val="32"/>
          <w:lang w:val="en-US" w:eastAsia="zh-CN"/>
        </w:rPr>
        <w:t>一、</w:t>
      </w:r>
      <w:bookmarkEnd w:id="9"/>
      <w:bookmarkEnd w:id="10"/>
      <w:r>
        <w:rPr>
          <w:rFonts w:hint="eastAsia" w:ascii="黑体" w:hAnsi="黑体" w:eastAsia="黑体"/>
          <w:color w:val="000000"/>
          <w:sz w:val="32"/>
          <w:szCs w:val="32"/>
          <w:lang w:val="en-US" w:eastAsia="zh-CN"/>
        </w:rPr>
        <w:t>部门职责</w:t>
      </w:r>
      <w:bookmarkEnd w:id="11"/>
      <w:bookmarkEnd w:id="12"/>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13" w:name="_Toc4181"/>
      <w:bookmarkStart w:id="14" w:name="_Toc22269"/>
      <w:bookmarkStart w:id="15" w:name="_Toc6223"/>
      <w:bookmarkStart w:id="16" w:name="_Toc15243"/>
      <w:r>
        <w:rPr>
          <w:rFonts w:hint="eastAsia" w:ascii="仿宋_GB2312" w:hAnsi="仿宋_GB2312" w:eastAsia="仿宋_GB2312" w:cs="仿宋_GB2312"/>
          <w:color w:val="000000"/>
          <w:sz w:val="32"/>
          <w:szCs w:val="32"/>
          <w:lang w:val="en-US" w:eastAsia="zh-CN"/>
        </w:rPr>
        <w:t>市纪委负责党的纪律检查委员会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负责纪检监察系统领导班子建设、干部队伍建设和组织建设的综合规划、政策研究、制度建设和业务指导。</w:t>
      </w:r>
      <w:bookmarkEnd w:id="13"/>
      <w:bookmarkEnd w:id="14"/>
      <w:bookmarkEnd w:id="15"/>
      <w:bookmarkEnd w:id="16"/>
    </w:p>
    <w:p>
      <w:pPr>
        <w:spacing w:line="600" w:lineRule="exact"/>
        <w:ind w:firstLine="640" w:firstLineChars="200"/>
        <w:outlineLvl w:val="1"/>
        <w:rPr>
          <w:rFonts w:hint="eastAsia" w:ascii="黑体" w:hAnsi="黑体" w:eastAsia="黑体"/>
          <w:color w:val="000000"/>
          <w:sz w:val="32"/>
          <w:szCs w:val="32"/>
          <w:lang w:val="en-US" w:eastAsia="zh-CN"/>
        </w:rPr>
      </w:pPr>
      <w:bookmarkStart w:id="17" w:name="_Toc15377200"/>
      <w:bookmarkStart w:id="18" w:name="_Toc536046237"/>
      <w:bookmarkStart w:id="19" w:name="_Toc15396601"/>
      <w:bookmarkStart w:id="20" w:name="_Toc10711"/>
      <w:r>
        <w:rPr>
          <w:rFonts w:hint="eastAsia" w:ascii="黑体" w:hAnsi="黑体" w:eastAsia="黑体"/>
          <w:color w:val="000000"/>
          <w:sz w:val="32"/>
          <w:szCs w:val="32"/>
          <w:lang w:val="en-US" w:eastAsia="zh-CN"/>
        </w:rPr>
        <w:t>二、机构设置</w:t>
      </w:r>
      <w:bookmarkEnd w:id="17"/>
      <w:bookmarkEnd w:id="18"/>
      <w:bookmarkEnd w:id="19"/>
      <w:bookmarkEnd w:id="20"/>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21" w:name="_Toc23590"/>
      <w:bookmarkStart w:id="22" w:name="_Toc8345"/>
      <w:bookmarkStart w:id="23" w:name="_Toc25036"/>
      <w:bookmarkStart w:id="24" w:name="_Toc31744"/>
      <w:r>
        <w:rPr>
          <w:rFonts w:hint="eastAsia" w:ascii="仿宋_GB2312" w:hAnsi="仿宋_GB2312" w:eastAsia="仿宋_GB2312" w:cs="仿宋_GB2312"/>
          <w:color w:val="000000"/>
          <w:sz w:val="32"/>
          <w:szCs w:val="32"/>
          <w:lang w:val="en-US" w:eastAsia="zh-CN"/>
        </w:rPr>
        <w:t>市纪委部门下属二级预算单位2个（含主管局本级），其中行政单位1个，参照公务员法管理的事业单位0个，其他事业单位1个。</w:t>
      </w:r>
      <w:bookmarkEnd w:id="21"/>
      <w:bookmarkEnd w:id="22"/>
      <w:bookmarkEnd w:id="23"/>
      <w:bookmarkEnd w:id="24"/>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25" w:name="_Toc17621"/>
      <w:bookmarkStart w:id="26" w:name="_Toc10450"/>
      <w:bookmarkStart w:id="27" w:name="_Toc14229"/>
      <w:bookmarkStart w:id="28" w:name="_Toc3399"/>
      <w:r>
        <w:rPr>
          <w:rFonts w:hint="eastAsia" w:ascii="仿宋_GB2312" w:hAnsi="仿宋_GB2312" w:eastAsia="仿宋_GB2312" w:cs="仿宋_GB2312"/>
          <w:color w:val="000000"/>
          <w:sz w:val="32"/>
          <w:szCs w:val="32"/>
          <w:lang w:val="en-US" w:eastAsia="zh-CN"/>
        </w:rPr>
        <w:t>纳入市纪委部门2022年度部门决算编制范围的二级预算单位包括：</w:t>
      </w:r>
      <w:bookmarkEnd w:id="25"/>
      <w:bookmarkEnd w:id="26"/>
      <w:bookmarkEnd w:id="27"/>
      <w:bookmarkEnd w:id="28"/>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29" w:name="_Toc6744"/>
      <w:bookmarkStart w:id="30" w:name="_Toc7007"/>
      <w:bookmarkStart w:id="31" w:name="_Toc20582"/>
      <w:bookmarkStart w:id="32" w:name="_Toc17872"/>
      <w:r>
        <w:rPr>
          <w:rFonts w:hint="eastAsia" w:ascii="仿宋_GB2312" w:hAnsi="仿宋_GB2312" w:eastAsia="仿宋_GB2312" w:cs="仿宋_GB2312"/>
          <w:color w:val="000000"/>
          <w:sz w:val="32"/>
          <w:szCs w:val="32"/>
          <w:lang w:val="en-US" w:eastAsia="zh-CN"/>
        </w:rPr>
        <w:t>1.自贡市纪委监委机关，内设机构19个，为机关党委、办公室、组织部、宣传部、法规研究室、党风政风监督室、信访室、案件监督管理室、案件审理室、纪检监察干部监督室、第一到第九纪检监察室。</w:t>
      </w:r>
      <w:bookmarkEnd w:id="29"/>
      <w:bookmarkEnd w:id="30"/>
      <w:bookmarkEnd w:id="31"/>
      <w:bookmarkEnd w:id="32"/>
    </w:p>
    <w:p>
      <w:pPr>
        <w:spacing w:line="600" w:lineRule="exact"/>
        <w:ind w:firstLine="640" w:firstLineChars="200"/>
        <w:outlineLvl w:val="1"/>
        <w:rPr>
          <w:rFonts w:hint="eastAsia" w:ascii="仿宋_GB2312" w:hAnsi="仿宋_GB2312" w:eastAsia="仿宋_GB2312" w:cs="仿宋_GB2312"/>
          <w:color w:val="auto"/>
          <w:sz w:val="32"/>
          <w:szCs w:val="32"/>
          <w:highlight w:val="none"/>
          <w:lang w:val="en-US" w:eastAsia="zh-CN"/>
        </w:rPr>
      </w:pPr>
      <w:bookmarkStart w:id="33" w:name="_Toc15306277"/>
      <w:bookmarkStart w:id="34" w:name="_Toc15377434"/>
      <w:bookmarkStart w:id="35" w:name="_Toc15377203"/>
      <w:bookmarkStart w:id="36" w:name="_Toc15378450"/>
      <w:bookmarkStart w:id="37" w:name="_Toc6499"/>
      <w:bookmarkStart w:id="38" w:name="_Toc28397"/>
      <w:bookmarkStart w:id="39" w:name="_Toc19553"/>
      <w:bookmarkStart w:id="40" w:name="_Toc15877"/>
      <w:bookmarkStart w:id="41" w:name="_Toc21336"/>
      <w:bookmarkStart w:id="42" w:name="_Toc29082"/>
      <w:bookmarkStart w:id="43" w:name="_Toc15796"/>
      <w:r>
        <w:rPr>
          <w:rFonts w:hint="eastAsia" w:ascii="仿宋_GB2312" w:hAnsi="仿宋_GB2312" w:eastAsia="仿宋_GB2312" w:cs="仿宋_GB2312"/>
          <w:color w:val="000000"/>
          <w:sz w:val="32"/>
          <w:szCs w:val="32"/>
          <w:lang w:val="en-US" w:eastAsia="zh-CN"/>
        </w:rPr>
        <w:t>2.</w:t>
      </w:r>
      <w:bookmarkEnd w:id="33"/>
      <w:bookmarkEnd w:id="34"/>
      <w:bookmarkEnd w:id="35"/>
      <w:bookmarkEnd w:id="36"/>
      <w:r>
        <w:rPr>
          <w:rFonts w:hint="eastAsia" w:ascii="仿宋_GB2312" w:hAnsi="仿宋_GB2312" w:eastAsia="仿宋_GB2312" w:cs="仿宋_GB2312"/>
          <w:color w:val="000000"/>
          <w:sz w:val="32"/>
          <w:szCs w:val="32"/>
          <w:lang w:val="en-US" w:eastAsia="zh-CN"/>
        </w:rPr>
        <w:t>自贡市纪委监委廉政教育中心（市纪委监委信息中心</w:t>
      </w:r>
      <w:r>
        <w:rPr>
          <w:rFonts w:hint="eastAsia" w:ascii="仿宋_GB2312" w:hAnsi="仿宋_GB2312" w:eastAsia="仿宋_GB2312" w:cs="仿宋_GB2312"/>
          <w:color w:val="auto"/>
          <w:sz w:val="32"/>
          <w:szCs w:val="32"/>
          <w:highlight w:val="none"/>
          <w:lang w:val="en-US" w:eastAsia="zh-CN"/>
        </w:rPr>
        <w:t>并入廉政教育中心决算）。</w:t>
      </w:r>
      <w:bookmarkEnd w:id="37"/>
      <w:bookmarkEnd w:id="38"/>
      <w:bookmarkEnd w:id="39"/>
      <w:bookmarkEnd w:id="40"/>
      <w:bookmarkEnd w:id="41"/>
      <w:bookmarkEnd w:id="42"/>
      <w:bookmarkEnd w:id="43"/>
    </w:p>
    <w:p>
      <w:pPr>
        <w:pStyle w:val="5"/>
        <w:jc w:val="center"/>
        <w:rPr>
          <w:rFonts w:hint="eastAsia" w:ascii="黑体" w:hAnsi="黑体" w:eastAsia="黑体"/>
          <w:b w:val="0"/>
          <w:lang w:val="en-US" w:eastAsia="zh-CN"/>
        </w:rPr>
      </w:pPr>
      <w:bookmarkStart w:id="44" w:name="_Toc24740"/>
      <w:bookmarkStart w:id="45" w:name="_Toc1685910977"/>
      <w:bookmarkStart w:id="46" w:name="_Toc15396602"/>
      <w:bookmarkStart w:id="47" w:name="_Toc7393"/>
      <w:bookmarkStart w:id="48" w:name="_Toc15377204"/>
      <w:r>
        <w:rPr>
          <w:rFonts w:hint="eastAsia" w:ascii="黑体" w:hAnsi="黑体" w:eastAsia="黑体"/>
          <w:b w:val="0"/>
          <w:lang w:val="en-US" w:eastAsia="zh-CN"/>
        </w:rPr>
        <w:t>第二部分 2022年度部门决算情况说明</w:t>
      </w:r>
      <w:bookmarkEnd w:id="44"/>
      <w:bookmarkEnd w:id="45"/>
      <w:bookmarkEnd w:id="46"/>
      <w:bookmarkEnd w:id="47"/>
      <w:bookmarkEnd w:id="48"/>
    </w:p>
    <w:p>
      <w:pPr>
        <w:spacing w:line="600" w:lineRule="exact"/>
        <w:ind w:firstLine="640" w:firstLineChars="200"/>
        <w:outlineLvl w:val="1"/>
        <w:rPr>
          <w:rFonts w:hint="eastAsia" w:ascii="黑体" w:hAnsi="黑体" w:eastAsia="黑体"/>
          <w:color w:val="000000"/>
          <w:sz w:val="32"/>
          <w:szCs w:val="32"/>
          <w:lang w:val="en-US" w:eastAsia="zh-CN"/>
        </w:rPr>
      </w:pPr>
      <w:bookmarkStart w:id="49" w:name="_Toc15396603"/>
      <w:bookmarkStart w:id="50" w:name="_Toc15171"/>
      <w:bookmarkStart w:id="51" w:name="_Toc780374100"/>
      <w:bookmarkStart w:id="52" w:name="_Toc15377205"/>
      <w:r>
        <w:rPr>
          <w:rFonts w:hint="eastAsia" w:ascii="黑体" w:hAnsi="黑体" w:eastAsia="黑体"/>
          <w:color w:val="000000"/>
          <w:sz w:val="32"/>
          <w:szCs w:val="32"/>
          <w:lang w:val="en-US" w:eastAsia="zh-CN"/>
        </w:rPr>
        <w:t>一、收入支出决算总体情况说明</w:t>
      </w:r>
      <w:bookmarkEnd w:id="49"/>
      <w:bookmarkEnd w:id="50"/>
      <w:bookmarkEnd w:id="51"/>
      <w:bookmarkEnd w:id="52"/>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53" w:name="_Toc22688"/>
      <w:bookmarkStart w:id="54" w:name="_Toc5413"/>
      <w:bookmarkStart w:id="55" w:name="_Toc27260"/>
      <w:r>
        <w:rPr>
          <w:rFonts w:hint="eastAsia" w:ascii="仿宋_GB2312" w:hAnsi="仿宋_GB2312" w:eastAsia="仿宋_GB2312" w:cs="仿宋_GB2312"/>
          <w:color w:val="000000"/>
          <w:sz w:val="32"/>
          <w:szCs w:val="32"/>
          <w:lang w:val="en-US" w:eastAsia="zh-CN"/>
        </w:rPr>
        <w:t>2022年度收、支总计3597.01万元。与2021年相比，收、支总计各增加684.02万元，增长23.48%。主要变动原因是2022年度项目支出增加。</w:t>
      </w:r>
      <w:bookmarkEnd w:id="53"/>
      <w:bookmarkEnd w:id="54"/>
      <w:bookmarkEnd w:id="55"/>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56" w:name="_Toc30381"/>
      <w:bookmarkStart w:id="57" w:name="_Toc6518"/>
      <w:bookmarkStart w:id="58" w:name="_Toc19646"/>
      <w:r>
        <w:rPr>
          <w:rFonts w:hint="eastAsia" w:ascii="仿宋_GB2312" w:hAnsi="仿宋_GB2312" w:eastAsia="仿宋_GB2312" w:cs="仿宋_GB2312"/>
          <w:color w:val="000000"/>
          <w:sz w:val="32"/>
          <w:szCs w:val="32"/>
          <w:lang w:val="en-US" w:eastAsia="zh-CN"/>
        </w:rPr>
        <w:t>（图1：收、支决算总计变动情况图）（柱状图）</w:t>
      </w:r>
      <w:bookmarkEnd w:id="56"/>
      <w:bookmarkEnd w:id="57"/>
      <w:bookmarkEnd w:id="58"/>
    </w:p>
    <w:p>
      <w:pPr>
        <w:pStyle w:val="7"/>
        <w:pageBreakBefore w:val="0"/>
        <w:kinsoku/>
        <w:wordWrap/>
        <w:overflowPunct/>
        <w:topLinePunct w:val="0"/>
        <w:bidi w:val="0"/>
        <w:ind w:right="0" w:rightChars="0" w:firstLine="480" w:firstLineChars="200"/>
        <w:textAlignment w:val="auto"/>
        <w:rPr>
          <w:rFonts w:hint="eastAsia" w:ascii="仿宋_GB2312" w:hAnsi="仿宋_GB2312" w:eastAsia="仿宋_GB2312" w:cs="仿宋_GB2312"/>
        </w:rPr>
      </w:pPr>
    </w:p>
    <w:p>
      <w:pPr>
        <w:pStyle w:val="2"/>
        <w:pageBreakBefore w:val="0"/>
        <w:kinsoku/>
        <w:wordWrap/>
        <w:overflowPunct/>
        <w:topLinePunct w:val="0"/>
        <w:bidi w:val="0"/>
        <w:spacing w:after="0"/>
        <w:ind w:right="0" w:rightChars="0" w:firstLine="640" w:firstLineChars="200"/>
        <w:textAlignment w:val="auto"/>
        <w:rPr>
          <w:rFonts w:ascii="仿宋_GB2312" w:eastAsia="仿宋_GB2312"/>
          <w:color w:val="000000"/>
          <w:sz w:val="32"/>
          <w:szCs w:val="32"/>
        </w:rPr>
      </w:pPr>
      <w:r>
        <w:drawing>
          <wp:inline distT="0" distB="0" distL="114300" distR="114300">
            <wp:extent cx="3287395" cy="1857375"/>
            <wp:effectExtent l="4445" t="4445" r="22860"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59" w:name="_Toc15377206"/>
      <w:bookmarkStart w:id="60" w:name="_Toc16184"/>
      <w:bookmarkStart w:id="61" w:name="_Toc15396604"/>
      <w:bookmarkStart w:id="62" w:name="_Toc2014380783"/>
      <w:r>
        <w:rPr>
          <w:rFonts w:hint="eastAsia" w:ascii="黑体" w:hAnsi="黑体" w:eastAsia="黑体"/>
          <w:color w:val="000000"/>
          <w:sz w:val="32"/>
          <w:szCs w:val="32"/>
          <w:lang w:val="en-US" w:eastAsia="zh-CN"/>
        </w:rPr>
        <w:t>二、收入决算情况说明</w:t>
      </w:r>
      <w:bookmarkEnd w:id="59"/>
      <w:bookmarkEnd w:id="60"/>
      <w:bookmarkEnd w:id="61"/>
      <w:bookmarkEnd w:id="62"/>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63" w:name="_Toc19436"/>
      <w:bookmarkStart w:id="64" w:name="_Toc6818"/>
      <w:bookmarkStart w:id="65" w:name="_Toc11806"/>
      <w:r>
        <w:rPr>
          <w:rFonts w:hint="eastAsia" w:ascii="仿宋_GB2312" w:hAnsi="仿宋_GB2312" w:eastAsia="仿宋_GB2312" w:cs="仿宋_GB2312"/>
          <w:color w:val="000000"/>
          <w:sz w:val="32"/>
          <w:szCs w:val="32"/>
          <w:lang w:val="en-US" w:eastAsia="zh-CN"/>
        </w:rPr>
        <w:t>2022年本年收入合计3597.01万元，其中：一般公共预算财政拨款收入3597.01万元，占100%；政府性基金预算财政拨款收入0万元，占0%；国有资本经营预算财政拨款收入0万元，占0%；上级补助收入0万元，占0%；事业收入0万元，占0%；经营收入0万元，占0%；附属单位上缴收入0万元，占0%；其他收入0万元，占0%。</w:t>
      </w:r>
      <w:bookmarkEnd w:id="63"/>
      <w:bookmarkEnd w:id="64"/>
      <w:bookmarkEnd w:id="65"/>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（图2：收入决算结构图）（饼状图）</w:t>
      </w:r>
    </w:p>
    <w:p>
      <w:pPr>
        <w:pStyle w:val="7"/>
        <w:pageBreakBefore w:val="0"/>
        <w:kinsoku/>
        <w:wordWrap/>
        <w:overflowPunct/>
        <w:topLinePunct w:val="0"/>
        <w:bidi w:val="0"/>
        <w:ind w:right="0" w:rightChars="0" w:firstLine="480" w:firstLineChars="200"/>
        <w:textAlignment w:val="auto"/>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ascii="仿宋_GB2312" w:eastAsia="仿宋_GB2312"/>
          <w:color w:val="FF0000"/>
          <w:sz w:val="32"/>
          <w:szCs w:val="32"/>
        </w:rPr>
      </w:pPr>
      <w:r>
        <w:drawing>
          <wp:inline distT="0" distB="0" distL="114300" distR="114300">
            <wp:extent cx="3211830" cy="1990725"/>
            <wp:effectExtent l="4445" t="4445" r="22225" b="508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66" w:name="_Toc763783022"/>
      <w:bookmarkStart w:id="67" w:name="_Toc15377207"/>
      <w:bookmarkStart w:id="68" w:name="_Toc15396605"/>
      <w:bookmarkStart w:id="69" w:name="_Toc6155"/>
      <w:r>
        <w:rPr>
          <w:rFonts w:hint="eastAsia" w:ascii="黑体" w:hAnsi="黑体" w:eastAsia="黑体"/>
          <w:color w:val="000000"/>
          <w:sz w:val="32"/>
          <w:szCs w:val="32"/>
          <w:lang w:val="en-US" w:eastAsia="zh-CN"/>
        </w:rPr>
        <w:t>三、支出决算情况说明</w:t>
      </w:r>
      <w:bookmarkEnd w:id="66"/>
      <w:bookmarkEnd w:id="67"/>
      <w:bookmarkEnd w:id="68"/>
      <w:bookmarkEnd w:id="69"/>
    </w:p>
    <w:p>
      <w:pPr>
        <w:spacing w:line="600" w:lineRule="exact"/>
        <w:ind w:firstLine="640" w:firstLineChars="200"/>
        <w:outlineLvl w:val="2"/>
        <w:rPr>
          <w:rFonts w:hint="eastAsia" w:ascii="仿宋" w:hAnsi="仿宋" w:eastAsia="仿宋"/>
          <w:b w:val="0"/>
          <w:bCs/>
          <w:color w:val="000000"/>
          <w:sz w:val="32"/>
          <w:szCs w:val="32"/>
        </w:rPr>
      </w:pPr>
      <w:bookmarkStart w:id="70" w:name="_Toc1444"/>
      <w:bookmarkStart w:id="71" w:name="_Toc14484"/>
      <w:bookmarkStart w:id="72" w:name="_Toc17885"/>
      <w:r>
        <w:rPr>
          <w:rFonts w:hint="eastAsia" w:ascii="仿宋" w:hAnsi="仿宋" w:eastAsia="仿宋"/>
          <w:b w:val="0"/>
          <w:bCs/>
          <w:color w:val="000000"/>
          <w:sz w:val="32"/>
          <w:szCs w:val="32"/>
        </w:rPr>
        <w:t>20</w:t>
      </w:r>
      <w:r>
        <w:rPr>
          <w:rFonts w:hint="eastAsia" w:ascii="仿宋" w:hAnsi="仿宋" w:eastAsia="仿宋"/>
          <w:b w:val="0"/>
          <w:bCs/>
          <w:color w:val="000000"/>
          <w:sz w:val="32"/>
          <w:szCs w:val="32"/>
          <w:lang w:val="en-US" w:eastAsia="zh-CN"/>
        </w:rPr>
        <w:t>22</w:t>
      </w:r>
      <w:r>
        <w:rPr>
          <w:rFonts w:hint="eastAsia" w:ascii="仿宋" w:hAnsi="仿宋" w:eastAsia="仿宋"/>
          <w:b w:val="0"/>
          <w:bCs/>
          <w:color w:val="000000"/>
          <w:sz w:val="32"/>
          <w:szCs w:val="32"/>
        </w:rPr>
        <w:t>年本年支出合计3,597.01万元，其中：基本支出1,997.92万元，占</w:t>
      </w:r>
      <w:r>
        <w:rPr>
          <w:rFonts w:hint="eastAsia" w:ascii="仿宋" w:hAnsi="仿宋" w:eastAsia="仿宋"/>
          <w:b w:val="0"/>
          <w:bCs/>
          <w:color w:val="000000"/>
          <w:sz w:val="32"/>
          <w:szCs w:val="32"/>
          <w:lang w:val="en-US" w:eastAsia="zh-CN"/>
        </w:rPr>
        <w:t>55.54</w:t>
      </w:r>
      <w:r>
        <w:rPr>
          <w:rFonts w:hint="eastAsia" w:ascii="仿宋" w:hAnsi="仿宋" w:eastAsia="仿宋"/>
          <w:b w:val="0"/>
          <w:bCs/>
          <w:color w:val="000000"/>
          <w:sz w:val="32"/>
          <w:szCs w:val="32"/>
        </w:rPr>
        <w:t>%；项目支出1,599.10万元，占</w:t>
      </w:r>
      <w:r>
        <w:rPr>
          <w:rFonts w:hint="eastAsia" w:ascii="仿宋" w:hAnsi="仿宋" w:eastAsia="仿宋"/>
          <w:b w:val="0"/>
          <w:bCs/>
          <w:color w:val="000000"/>
          <w:sz w:val="32"/>
          <w:szCs w:val="32"/>
          <w:lang w:val="en-US" w:eastAsia="zh-CN"/>
        </w:rPr>
        <w:t>44.46</w:t>
      </w:r>
      <w:r>
        <w:rPr>
          <w:rFonts w:hint="eastAsia" w:ascii="仿宋" w:hAnsi="仿宋" w:eastAsia="仿宋"/>
          <w:b w:val="0"/>
          <w:bCs/>
          <w:color w:val="000000"/>
          <w:sz w:val="32"/>
          <w:szCs w:val="32"/>
        </w:rPr>
        <w:t>%；上缴上级支出</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%；经营支出</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%；对附属单位补助支出</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w:t>
      </w:r>
      <w:bookmarkEnd w:id="70"/>
      <w:bookmarkEnd w:id="71"/>
      <w:bookmarkEnd w:id="72"/>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（图3：支出决算结构图）（饼状图）</w:t>
      </w:r>
    </w:p>
    <w:p>
      <w:pPr>
        <w:pStyle w:val="7"/>
        <w:pageBreakBefore w:val="0"/>
        <w:kinsoku/>
        <w:wordWrap/>
        <w:overflowPunct/>
        <w:topLinePunct w:val="0"/>
        <w:bidi w:val="0"/>
        <w:ind w:right="0" w:rightChars="0" w:firstLine="48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ascii="仿宋_GB2312" w:eastAsia="仿宋_GB2312"/>
          <w:color w:val="FF0000"/>
          <w:sz w:val="32"/>
          <w:szCs w:val="32"/>
        </w:rPr>
      </w:pPr>
      <w:r>
        <w:drawing>
          <wp:inline distT="0" distB="0" distL="114300" distR="114300">
            <wp:extent cx="2762250" cy="1915795"/>
            <wp:effectExtent l="4445" t="4445" r="14605" b="2286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73" w:name="_Toc15377208"/>
      <w:bookmarkStart w:id="74" w:name="_Toc15396606"/>
      <w:bookmarkStart w:id="75" w:name="_Toc2892"/>
      <w:bookmarkStart w:id="76" w:name="_Toc1624033745"/>
      <w:r>
        <w:rPr>
          <w:rFonts w:hint="eastAsia" w:ascii="黑体" w:hAnsi="黑体" w:eastAsia="黑体"/>
          <w:color w:val="000000"/>
          <w:sz w:val="32"/>
          <w:szCs w:val="32"/>
          <w:lang w:val="en-US" w:eastAsia="zh-CN"/>
        </w:rPr>
        <w:t>四、财政拨款收入支出决算总体情况说明</w:t>
      </w:r>
      <w:bookmarkEnd w:id="73"/>
      <w:bookmarkEnd w:id="74"/>
      <w:bookmarkEnd w:id="75"/>
      <w:bookmarkEnd w:id="76"/>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77" w:name="_Toc22844"/>
      <w:bookmarkStart w:id="78" w:name="_Toc13754"/>
      <w:bookmarkStart w:id="79" w:name="_Toc10004"/>
      <w:r>
        <w:rPr>
          <w:rFonts w:hint="eastAsia" w:ascii="仿宋_GB2312" w:hAnsi="仿宋_GB2312" w:eastAsia="仿宋_GB2312" w:cs="仿宋_GB2312"/>
          <w:color w:val="000000"/>
          <w:sz w:val="32"/>
          <w:szCs w:val="32"/>
          <w:lang w:val="en-US" w:eastAsia="zh-CN"/>
        </w:rPr>
        <w:t>2022年财政拨款收、支总计3,597.01万元。与2021年相比，财政拨款收、支总计各增加684.02万元，增长23.48%。主要变动原因是2022年度项目支出增加。</w:t>
      </w:r>
      <w:bookmarkEnd w:id="77"/>
      <w:bookmarkEnd w:id="78"/>
      <w:bookmarkEnd w:id="79"/>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（图4：财政拨款收、支决算总计变动情况）（柱状图）</w:t>
      </w:r>
    </w:p>
    <w:p>
      <w:pPr>
        <w:pStyle w:val="7"/>
        <w:pageBreakBefore w:val="0"/>
        <w:kinsoku/>
        <w:wordWrap/>
        <w:overflowPunct/>
        <w:topLinePunct w:val="0"/>
        <w:bidi w:val="0"/>
        <w:ind w:right="0" w:rightChars="0" w:firstLine="48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ascii="仿宋" w:hAnsi="仿宋" w:eastAsia="仿宋"/>
          <w:b/>
          <w:color w:val="00B050"/>
          <w:sz w:val="32"/>
          <w:szCs w:val="32"/>
        </w:rPr>
      </w:pPr>
      <w:r>
        <w:drawing>
          <wp:inline distT="0" distB="0" distL="114300" distR="114300">
            <wp:extent cx="3724910" cy="2010410"/>
            <wp:effectExtent l="5080" t="4445" r="22860" b="23495"/>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80" w:name="_Toc15396607"/>
      <w:bookmarkStart w:id="81" w:name="_Toc13283"/>
      <w:bookmarkStart w:id="82" w:name="_Toc15377209"/>
      <w:bookmarkStart w:id="83" w:name="_Toc7507"/>
      <w:bookmarkStart w:id="84" w:name="_Toc10930"/>
      <w:bookmarkStart w:id="85" w:name="_Toc23780"/>
      <w:bookmarkStart w:id="86" w:name="_Toc15377210"/>
      <w:r>
        <w:rPr>
          <w:rFonts w:hint="eastAsia" w:ascii="黑体" w:hAnsi="黑体" w:eastAsia="黑体"/>
          <w:color w:val="000000"/>
          <w:sz w:val="32"/>
          <w:szCs w:val="32"/>
          <w:lang w:val="en-US" w:eastAsia="zh-CN"/>
        </w:rPr>
        <w:t>五、一般公共预算财政拨款支出决算情况说明</w:t>
      </w:r>
      <w:bookmarkEnd w:id="80"/>
      <w:bookmarkEnd w:id="81"/>
      <w:bookmarkEnd w:id="82"/>
      <w:bookmarkEnd w:id="83"/>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bookmarkStart w:id="87" w:name="_Toc14588"/>
      <w:r>
        <w:rPr>
          <w:rFonts w:hint="eastAsia" w:ascii="仿宋_GB2312" w:hAnsi="仿宋_GB2312" w:eastAsia="仿宋_GB2312" w:cs="仿宋_GB2312"/>
          <w:b w:val="0"/>
          <w:bCs w:val="0"/>
          <w:color w:val="000000"/>
          <w:sz w:val="32"/>
          <w:szCs w:val="32"/>
          <w:lang w:val="en-US" w:eastAsia="zh-CN"/>
        </w:rPr>
        <w:t>（一）一般公共预算财政拨款支出决算总体情况</w:t>
      </w:r>
      <w:bookmarkEnd w:id="84"/>
      <w:bookmarkEnd w:id="85"/>
      <w:bookmarkEnd w:id="86"/>
      <w:bookmarkEnd w:id="87"/>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bookmarkStart w:id="88" w:name="_Toc822"/>
      <w:r>
        <w:rPr>
          <w:rFonts w:hint="eastAsia" w:ascii="仿宋_GB2312" w:hAnsi="仿宋_GB2312" w:eastAsia="仿宋_GB2312" w:cs="仿宋_GB2312"/>
          <w:b w:val="0"/>
          <w:bCs w:val="0"/>
          <w:color w:val="000000"/>
          <w:sz w:val="32"/>
          <w:szCs w:val="32"/>
          <w:lang w:val="en-US" w:eastAsia="zh-CN"/>
        </w:rPr>
        <w:t>2022年一般公共预算财政拨款支出3,597.01万元，占本年支出合计的100%。与2021年相比，一般公共预算财政拨款支出增加684.02万元，增长23.48%。主要变动原因是2022年度项目支出增加。</w:t>
      </w:r>
      <w:bookmarkEnd w:id="88"/>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ascii="仿宋" w:hAnsi="仿宋" w:eastAsia="仿宋"/>
          <w:color w:val="000000"/>
          <w:sz w:val="32"/>
          <w:szCs w:val="32"/>
        </w:rPr>
      </w:pPr>
      <w:r>
        <w:drawing>
          <wp:inline distT="0" distB="0" distL="114300" distR="114300">
            <wp:extent cx="3695700" cy="1905635"/>
            <wp:effectExtent l="5080" t="4445" r="13970" b="13970"/>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1"/>
        <w:rPr>
          <w:rFonts w:hint="eastAsia" w:ascii="仿宋_GB2312" w:hAnsi="仿宋_GB2312" w:eastAsia="仿宋_GB2312" w:cs="仿宋_GB2312"/>
          <w:b/>
          <w:bCs/>
          <w:color w:val="000000"/>
          <w:sz w:val="32"/>
          <w:szCs w:val="32"/>
          <w:lang w:val="en-US" w:eastAsia="zh-CN"/>
        </w:rPr>
      </w:pPr>
      <w:bookmarkStart w:id="89" w:name="_Toc13215"/>
      <w:bookmarkStart w:id="90" w:name="_Toc3561"/>
      <w:bookmarkStart w:id="91" w:name="_Toc18436"/>
      <w:bookmarkStart w:id="92" w:name="_Toc15377211"/>
      <w:r>
        <w:rPr>
          <w:rFonts w:hint="eastAsia" w:ascii="仿宋_GB2312" w:hAnsi="仿宋_GB2312" w:eastAsia="仿宋_GB2312" w:cs="仿宋_GB2312"/>
          <w:b/>
          <w:bCs/>
          <w:color w:val="000000"/>
          <w:sz w:val="32"/>
          <w:szCs w:val="32"/>
          <w:lang w:val="en-US" w:eastAsia="zh-CN"/>
        </w:rPr>
        <w:t>（二）一般公共预算财政拨款支出决算结构情况</w:t>
      </w:r>
      <w:bookmarkEnd w:id="89"/>
      <w:bookmarkEnd w:id="90"/>
      <w:bookmarkEnd w:id="91"/>
      <w:bookmarkEnd w:id="92"/>
    </w:p>
    <w:p>
      <w:pPr>
        <w:spacing w:line="600" w:lineRule="exact"/>
        <w:ind w:firstLine="640" w:firstLineChars="200"/>
        <w:outlineLvl w:val="1"/>
        <w:rPr>
          <w:rFonts w:hint="eastAsia" w:ascii="Times New Roman" w:hAnsi="Times New Roman" w:eastAsia="仿宋_GB2312" w:cs="Times New Roman"/>
          <w:kern w:val="2"/>
          <w:sz w:val="32"/>
          <w:szCs w:val="32"/>
          <w:lang w:val="en-US" w:eastAsia="zh-CN" w:bidi="ar-SA"/>
        </w:rPr>
      </w:pPr>
      <w:bookmarkStart w:id="93" w:name="_Toc4060"/>
      <w:bookmarkStart w:id="94" w:name="_Toc28639"/>
      <w:r>
        <w:rPr>
          <w:rFonts w:hint="eastAsia" w:ascii="仿宋_GB2312" w:hAnsi="仿宋_GB2312" w:eastAsia="仿宋_GB2312" w:cs="仿宋_GB2312"/>
          <w:b w:val="0"/>
          <w:bCs w:val="0"/>
          <w:color w:val="000000"/>
          <w:sz w:val="32"/>
          <w:szCs w:val="32"/>
          <w:lang w:val="en-US" w:eastAsia="zh-CN"/>
        </w:rPr>
        <w:t>2022年一般公共预算财政拨款支出3,597.01万元，主要用于以下方面:一般公共服务支出3,073.47万元，占85.44%；教育支出0万元，占0%；科学技术支出0万元，占0%；文化旅游体育与传媒支出0万元，占0%；社会保障</w:t>
      </w:r>
      <w:r>
        <w:rPr>
          <w:rFonts w:hint="eastAsia" w:ascii="Times New Roman" w:hAnsi="Times New Roman" w:eastAsia="仿宋_GB2312" w:cs="Times New Roman"/>
          <w:b w:val="0"/>
          <w:bCs w:val="0"/>
          <w:kern w:val="2"/>
          <w:sz w:val="32"/>
          <w:szCs w:val="32"/>
          <w:lang w:val="en-US" w:eastAsia="zh-CN" w:bidi="ar-SA"/>
        </w:rPr>
        <w:t>和就</w:t>
      </w:r>
      <w:r>
        <w:rPr>
          <w:rFonts w:hint="eastAsia" w:ascii="Times New Roman" w:hAnsi="Times New Roman" w:eastAsia="仿宋_GB2312" w:cs="Times New Roman"/>
          <w:kern w:val="2"/>
          <w:sz w:val="32"/>
          <w:szCs w:val="32"/>
          <w:lang w:val="en-US" w:eastAsia="zh-CN" w:bidi="ar-SA"/>
        </w:rPr>
        <w:t>业支出316.97万元，占8.81%；卫生健康支出78.65万元，占2.19%；住房保障支出127.92万元，占3.56%。</w:t>
      </w:r>
      <w:bookmarkEnd w:id="93"/>
      <w:bookmarkEnd w:id="94"/>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pStyle w:val="7"/>
        <w:pageBreakBefore w:val="0"/>
        <w:kinsoku/>
        <w:wordWrap/>
        <w:overflowPunct/>
        <w:topLinePunct w:val="0"/>
        <w:bidi w:val="0"/>
        <w:ind w:right="0" w:rightChars="0" w:firstLine="480" w:firstLineChars="200"/>
        <w:textAlignment w:val="auto"/>
        <w:rPr>
          <w:rFonts w:hint="eastAsia"/>
        </w:rPr>
      </w:pPr>
    </w:p>
    <w:p>
      <w:pPr>
        <w:pStyle w:val="2"/>
        <w:pageBreakBefore w:val="0"/>
        <w:kinsoku/>
        <w:wordWrap/>
        <w:overflowPunct/>
        <w:topLinePunct w:val="0"/>
        <w:bidi w:val="0"/>
        <w:spacing w:after="0"/>
        <w:ind w:right="0" w:rightChars="0" w:firstLine="640" w:firstLineChars="200"/>
        <w:textAlignment w:val="auto"/>
      </w:pPr>
      <w:r>
        <w:drawing>
          <wp:inline distT="0" distB="0" distL="114300" distR="114300">
            <wp:extent cx="3553460" cy="2390775"/>
            <wp:effectExtent l="4445" t="4445" r="23495" b="5080"/>
            <wp:docPr id="1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1"/>
        <w:rPr>
          <w:rFonts w:hint="eastAsia" w:ascii="仿宋_GB2312" w:hAnsi="仿宋_GB2312" w:eastAsia="仿宋_GB2312" w:cs="仿宋_GB2312"/>
          <w:b/>
          <w:bCs/>
          <w:color w:val="000000"/>
          <w:sz w:val="32"/>
          <w:szCs w:val="32"/>
          <w:lang w:val="en-US" w:eastAsia="zh-CN"/>
        </w:rPr>
      </w:pPr>
      <w:bookmarkStart w:id="95" w:name="_Toc18770"/>
      <w:bookmarkStart w:id="96" w:name="_Toc9701"/>
      <w:bookmarkStart w:id="97" w:name="_Toc15377212"/>
      <w:bookmarkStart w:id="98" w:name="_Toc16063"/>
      <w:r>
        <w:rPr>
          <w:rFonts w:hint="eastAsia" w:ascii="仿宋_GB2312" w:hAnsi="仿宋_GB2312" w:eastAsia="仿宋_GB2312" w:cs="仿宋_GB2312"/>
          <w:b/>
          <w:bCs/>
          <w:color w:val="000000"/>
          <w:sz w:val="32"/>
          <w:szCs w:val="32"/>
          <w:lang w:val="en-US" w:eastAsia="zh-CN"/>
        </w:rPr>
        <w:t>（三）一般公共预算财政拨款支出决算具体情况</w:t>
      </w:r>
      <w:bookmarkEnd w:id="95"/>
      <w:bookmarkEnd w:id="96"/>
      <w:bookmarkEnd w:id="97"/>
      <w:bookmarkEnd w:id="98"/>
    </w:p>
    <w:p>
      <w:pPr>
        <w:spacing w:line="600" w:lineRule="exact"/>
        <w:ind w:firstLine="640" w:firstLineChars="200"/>
        <w:outlineLvl w:val="2"/>
        <w:rPr>
          <w:rFonts w:hint="eastAsia" w:ascii="仿宋_GB2312" w:hAnsi="仿宋_GB2312" w:eastAsia="仿宋_GB2312" w:cs="仿宋_GB2312"/>
          <w:b w:val="0"/>
          <w:bCs/>
          <w:color w:val="000000"/>
          <w:sz w:val="32"/>
          <w:szCs w:val="32"/>
          <w:lang w:val="en-US" w:eastAsia="zh-CN"/>
        </w:rPr>
      </w:pPr>
      <w:bookmarkStart w:id="99" w:name="_Toc21346"/>
      <w:bookmarkStart w:id="100" w:name="_Toc27589"/>
      <w:bookmarkStart w:id="101" w:name="_Toc22632"/>
      <w:bookmarkStart w:id="102" w:name="_Toc11951"/>
      <w:bookmarkStart w:id="103" w:name="_Toc5261"/>
      <w:bookmarkStart w:id="104" w:name="_Toc26490"/>
      <w:bookmarkStart w:id="105" w:name="_Toc15377213"/>
      <w:bookmarkStart w:id="106" w:name="_Toc15377444"/>
      <w:bookmarkStart w:id="107" w:name="_Toc15378460"/>
      <w:bookmarkStart w:id="108" w:name="_Toc13263"/>
      <w:r>
        <w:rPr>
          <w:rFonts w:hint="eastAsia" w:ascii="仿宋_GB2312" w:hAnsi="仿宋_GB2312" w:eastAsia="仿宋_GB2312" w:cs="仿宋_GB2312"/>
          <w:b w:val="0"/>
          <w:bCs/>
          <w:color w:val="000000"/>
          <w:sz w:val="32"/>
          <w:szCs w:val="32"/>
          <w:lang w:val="en-US" w:eastAsia="zh-CN"/>
        </w:rPr>
        <w:t>2022年一般公共预算支出决算数为3,597.01</w:t>
      </w:r>
      <w:r>
        <w:rPr>
          <w:rFonts w:hint="eastAsia" w:ascii="仿宋_GB2312" w:hAnsi="仿宋_GB2312" w:cs="仿宋_GB2312"/>
          <w:b w:val="0"/>
          <w:bCs/>
          <w:color w:val="000000"/>
          <w:sz w:val="32"/>
          <w:szCs w:val="32"/>
          <w:lang w:val="en-US" w:eastAsia="zh-CN"/>
        </w:rPr>
        <w:t>万元</w:t>
      </w:r>
      <w:r>
        <w:rPr>
          <w:rFonts w:hint="eastAsia" w:ascii="仿宋_GB2312" w:hAnsi="仿宋_GB2312" w:eastAsia="仿宋_GB2312" w:cs="仿宋_GB2312"/>
          <w:b w:val="0"/>
          <w:bCs/>
          <w:color w:val="000000"/>
          <w:sz w:val="32"/>
          <w:szCs w:val="32"/>
          <w:lang w:val="en-US" w:eastAsia="zh-CN"/>
        </w:rPr>
        <w:t>，完成预算100%。其中：</w:t>
      </w:r>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一般公共服务（类）纪检监察事务（款）行政运行（项）:支出决算为1,304.15万元，完成预算100%。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 一般公共服务（类）纪检监察事务（款）一般行政管理事务（项）:支出决算为1,168.14万元，完成预算100%。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3.社会保障和就业（类）行政单位离退休（款）行政单位离退休费（项）:支出决算为142.12万元，完成预算100%。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4.社会保障和就业（类）行政事业单位养老支出（款）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机关事业单位基本养老保险缴费支出（项）:支出决算为130.07万元，完成预算100%。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5.社会保障和就业（类）行政事业单位职业年金缴费支出（款）机关事业单位职业年金缴费支出（项）:支出决算为44.77万元，完成预算100%。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6.卫生健康（类）行政事业单位医疗（款）行政事业单位医疗（项）:支出决算为78.66万元，完成预算100%。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7.住房保障支出（类）住房改革支出（款）住房公积金（项）:支出决算为127.92万元，完成预算100%。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8.一般公共服务（类）纪检监察事务（款）事业运行（项）:支出决算为170.22万元，完成预算100%。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b/>
          <w:color w:val="000000"/>
          <w:sz w:val="32"/>
          <w:szCs w:val="32"/>
        </w:rPr>
      </w:pPr>
      <w:r>
        <w:rPr>
          <w:rFonts w:hint="eastAsia" w:ascii="仿宋_GB2312" w:hAnsi="仿宋_GB2312" w:eastAsia="仿宋_GB2312" w:cs="仿宋_GB2312"/>
          <w:color w:val="auto"/>
          <w:sz w:val="32"/>
          <w:szCs w:val="32"/>
          <w:highlight w:val="none"/>
          <w:lang w:val="en-US" w:eastAsia="zh-CN"/>
        </w:rPr>
        <w:t>9.一般公共服务（类）纪检监察事务（款）其他纪检监察事务支出（项）:支出决算为430.96万元，完成预算100%。</w:t>
      </w:r>
    </w:p>
    <w:p>
      <w:pPr>
        <w:spacing w:line="600" w:lineRule="exact"/>
        <w:ind w:firstLine="640" w:firstLineChars="200"/>
        <w:outlineLvl w:val="1"/>
        <w:rPr>
          <w:rFonts w:hint="eastAsia" w:ascii="黑体" w:hAnsi="黑体" w:eastAsia="黑体"/>
          <w:color w:val="000000"/>
          <w:sz w:val="32"/>
          <w:szCs w:val="32"/>
          <w:lang w:val="en-US" w:eastAsia="zh-CN"/>
        </w:rPr>
      </w:pPr>
      <w:bookmarkStart w:id="109" w:name="_Toc15377214"/>
      <w:bookmarkStart w:id="110" w:name="_Toc6729"/>
      <w:bookmarkStart w:id="111" w:name="_Toc15396608"/>
      <w:bookmarkStart w:id="112" w:name="_Toc49189142"/>
      <w:r>
        <w:rPr>
          <w:rFonts w:hint="eastAsia" w:ascii="黑体" w:hAnsi="黑体" w:eastAsia="黑体"/>
          <w:color w:val="000000"/>
          <w:sz w:val="32"/>
          <w:szCs w:val="32"/>
          <w:lang w:val="en-US" w:eastAsia="zh-CN"/>
        </w:rPr>
        <w:t>六、一般公共预算财政拨款基本支出决算情况说明</w:t>
      </w:r>
      <w:bookmarkEnd w:id="109"/>
      <w:bookmarkEnd w:id="110"/>
      <w:bookmarkEnd w:id="111"/>
      <w:bookmarkEnd w:id="112"/>
      <w:r>
        <w:rPr>
          <w:rFonts w:hint="eastAsia" w:ascii="黑体" w:hAnsi="黑体" w:eastAsia="黑体"/>
          <w:color w:val="000000"/>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022年一般公共预算财政拨款基本支出1,997.92万元，其中：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人员经费1,692.68万元，主要包括：基本工资、津贴补贴、奖金、伙食补助费、绩效工资、机关事业单位基本养老保险缴费、职业年金缴费、其他社会保障缴费、其他工资福利支出、离休费、退休费、抚恤金、生活补助、公务员医疗补助、奖励金、住房公积金、其他对个人和家庭的补助支出等。</w:t>
      </w:r>
      <w:r>
        <w:rPr>
          <w:rFonts w:hint="eastAsia" w:ascii="仿宋_GB2312" w:hAnsi="仿宋_GB2312" w:eastAsia="仿宋_GB2312" w:cs="仿宋_GB2312"/>
          <w:color w:val="auto"/>
          <w:sz w:val="32"/>
          <w:szCs w:val="32"/>
          <w:highlight w:val="none"/>
          <w:lang w:val="en-US" w:eastAsia="zh-CN"/>
        </w:rPr>
        <w:br w:type="textWrapping"/>
      </w:r>
      <w:r>
        <w:rPr>
          <w:rFonts w:hint="eastAsia" w:ascii="仿宋_GB2312" w:hAnsi="仿宋_GB2312" w:eastAsia="仿宋_GB2312" w:cs="仿宋_GB2312"/>
          <w:color w:val="auto"/>
          <w:sz w:val="32"/>
          <w:szCs w:val="32"/>
          <w:highlight w:val="none"/>
          <w:lang w:val="en-US" w:eastAsia="zh-CN"/>
        </w:rPr>
        <w:t>　　公用经费305.24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Fonts w:hint="eastAsia" w:ascii="黑体" w:hAnsi="黑体" w:eastAsia="黑体"/>
          <w:color w:val="000000"/>
          <w:sz w:val="32"/>
          <w:szCs w:val="32"/>
          <w:lang w:val="en-US" w:eastAsia="zh-CN"/>
        </w:rPr>
      </w:pPr>
      <w:bookmarkStart w:id="113" w:name="_Toc15377215"/>
      <w:bookmarkStart w:id="114" w:name="_Toc1498715473"/>
      <w:bookmarkStart w:id="115" w:name="_Toc15396609"/>
      <w:bookmarkStart w:id="116" w:name="_Toc20887"/>
      <w:r>
        <w:rPr>
          <w:rFonts w:hint="eastAsia" w:ascii="黑体" w:hAnsi="黑体" w:eastAsia="黑体"/>
          <w:color w:val="000000"/>
          <w:sz w:val="32"/>
          <w:szCs w:val="32"/>
          <w:lang w:val="en-US" w:eastAsia="zh-CN"/>
        </w:rPr>
        <w:t>七、“三公”经费财政拨款支出决算情况说明</w:t>
      </w:r>
      <w:bookmarkEnd w:id="113"/>
      <w:bookmarkEnd w:id="114"/>
      <w:bookmarkEnd w:id="115"/>
      <w:bookmarkEnd w:id="116"/>
      <w:bookmarkStart w:id="117" w:name="_Toc6651"/>
      <w:bookmarkStart w:id="118" w:name="_Toc15377216"/>
    </w:p>
    <w:p>
      <w:pPr>
        <w:spacing w:line="600" w:lineRule="exact"/>
        <w:ind w:firstLine="643" w:firstLineChars="200"/>
        <w:outlineLvl w:val="1"/>
        <w:rPr>
          <w:rFonts w:hint="eastAsia" w:ascii="仿宋_GB2312" w:hAnsi="仿宋_GB2312" w:eastAsia="仿宋_GB2312" w:cs="仿宋_GB2312"/>
          <w:b/>
          <w:bCs/>
          <w:color w:val="auto"/>
          <w:sz w:val="32"/>
          <w:szCs w:val="32"/>
          <w:lang w:val="en-US" w:eastAsia="zh-CN"/>
        </w:rPr>
      </w:pPr>
      <w:bookmarkStart w:id="119" w:name="_Toc22335"/>
      <w:bookmarkStart w:id="120" w:name="_Toc5579"/>
      <w:bookmarkStart w:id="121" w:name="_Toc8926"/>
      <w:bookmarkStart w:id="122" w:name="_Toc28610"/>
      <w:bookmarkStart w:id="123" w:name="_Toc7869"/>
      <w:bookmarkStart w:id="124" w:name="_Toc13678"/>
      <w:r>
        <w:rPr>
          <w:rFonts w:hint="eastAsia" w:ascii="仿宋_GB2312" w:hAnsi="仿宋_GB2312" w:eastAsia="仿宋_GB2312" w:cs="仿宋_GB2312"/>
          <w:b/>
          <w:bCs/>
          <w:color w:val="auto"/>
          <w:sz w:val="32"/>
          <w:szCs w:val="32"/>
          <w:lang w:val="en-US" w:eastAsia="zh-CN"/>
        </w:rPr>
        <w:t>（一）“三公”经费财政拨款支出决算总体情况说明</w:t>
      </w:r>
      <w:bookmarkEnd w:id="117"/>
      <w:bookmarkEnd w:id="118"/>
      <w:bookmarkEnd w:id="119"/>
      <w:bookmarkEnd w:id="120"/>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125" w:name="_Toc4419"/>
      <w:bookmarkStart w:id="126" w:name="_Toc16605"/>
      <w:bookmarkStart w:id="127" w:name="_Toc28408"/>
      <w:bookmarkStart w:id="128" w:name="_Toc2184"/>
      <w:r>
        <w:rPr>
          <w:rFonts w:hint="eastAsia" w:ascii="仿宋_GB2312" w:hAnsi="仿宋_GB2312" w:eastAsia="仿宋_GB2312" w:cs="仿宋_GB2312"/>
          <w:color w:val="auto"/>
          <w:sz w:val="32"/>
          <w:szCs w:val="32"/>
          <w:highlight w:val="none"/>
          <w:lang w:val="en-US" w:eastAsia="zh-CN"/>
        </w:rPr>
        <w:t>2022年“三公”经费财政拨款支出决算为61.51万元，完成预算100%，较上年增加22.33万元，增长56.99%。决算数</w:t>
      </w:r>
      <w:r>
        <w:rPr>
          <w:rFonts w:hint="eastAsia" w:ascii="仿宋_GB2312" w:hAnsi="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lang w:val="en-US" w:eastAsia="zh-CN"/>
        </w:rPr>
        <w:t>预算数</w:t>
      </w:r>
      <w:r>
        <w:rPr>
          <w:rFonts w:hint="eastAsia" w:ascii="仿宋_GB2312" w:hAnsi="仿宋_GB2312" w:cs="仿宋_GB2312"/>
          <w:color w:val="auto"/>
          <w:sz w:val="32"/>
          <w:szCs w:val="32"/>
          <w:highlight w:val="none"/>
          <w:lang w:val="en-US" w:eastAsia="zh-CN"/>
        </w:rPr>
        <w:t>持平。</w:t>
      </w:r>
      <w:bookmarkEnd w:id="125"/>
      <w:bookmarkEnd w:id="126"/>
      <w:bookmarkEnd w:id="127"/>
      <w:bookmarkEnd w:id="128"/>
    </w:p>
    <w:p>
      <w:pPr>
        <w:pageBreakBefore w:val="0"/>
        <w:kinsoku/>
        <w:wordWrap/>
        <w:overflowPunct/>
        <w:topLinePunct w:val="0"/>
        <w:bidi w:val="0"/>
        <w:spacing w:line="600" w:lineRule="exact"/>
        <w:ind w:right="0" w:rightChars="0" w:firstLine="643" w:firstLineChars="200"/>
        <w:textAlignment w:val="auto"/>
        <w:outlineLvl w:val="2"/>
        <w:rPr>
          <w:rFonts w:hint="eastAsia" w:ascii="仿宋_GB2312" w:hAnsi="仿宋_GB2312" w:eastAsia="仿宋_GB2312" w:cs="仿宋_GB2312"/>
          <w:b/>
          <w:color w:val="000000"/>
          <w:sz w:val="32"/>
          <w:szCs w:val="32"/>
        </w:rPr>
      </w:pPr>
      <w:bookmarkStart w:id="129" w:name="_Toc30475"/>
      <w:bookmarkStart w:id="130" w:name="_Toc15377217"/>
      <w:bookmarkStart w:id="131" w:name="_Toc4647"/>
      <w:bookmarkStart w:id="132" w:name="_Toc27725"/>
      <w:bookmarkStart w:id="133" w:name="_Toc15733"/>
      <w:bookmarkStart w:id="134" w:name="_Toc16775"/>
      <w:bookmarkStart w:id="135" w:name="_Toc8994"/>
      <w:bookmarkStart w:id="136" w:name="_Toc342"/>
      <w:r>
        <w:rPr>
          <w:rFonts w:hint="eastAsia" w:ascii="仿宋_GB2312" w:hAnsi="仿宋_GB2312" w:eastAsia="仿宋_GB2312" w:cs="仿宋_GB2312"/>
          <w:b/>
          <w:color w:val="000000"/>
          <w:sz w:val="32"/>
          <w:szCs w:val="32"/>
        </w:rPr>
        <w:t>（二）“三公”经费财政拨款支出决算具体情况说明</w:t>
      </w:r>
      <w:bookmarkEnd w:id="129"/>
      <w:bookmarkEnd w:id="130"/>
      <w:bookmarkEnd w:id="131"/>
      <w:bookmarkEnd w:id="132"/>
      <w:bookmarkEnd w:id="133"/>
      <w:bookmarkEnd w:id="134"/>
      <w:bookmarkEnd w:id="135"/>
      <w:bookmarkEnd w:id="136"/>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2022年“三公”经费财政拨款支出决算中，因公出国（境）费支出决算0万元，占0%；公务用车购置及运行维护费支出决算57.01万元，占92.68%；公务接待费支出决算4.50万元，占7.32%。具体情</w:t>
      </w:r>
      <w:r>
        <w:rPr>
          <w:rFonts w:hint="eastAsia" w:ascii="仿宋_GB2312" w:hAnsi="仿宋_GB2312" w:eastAsia="仿宋_GB2312" w:cs="仿宋_GB2312"/>
          <w:color w:val="auto"/>
          <w:sz w:val="32"/>
          <w:szCs w:val="32"/>
          <w:highlight w:val="none"/>
        </w:rPr>
        <w:t>况如下：</w:t>
      </w:r>
    </w:p>
    <w:p>
      <w:pPr>
        <w:pageBreakBefore w:val="0"/>
        <w:kinsoku/>
        <w:wordWrap/>
        <w:overflowPunct/>
        <w:topLinePunct w:val="0"/>
        <w:bidi w:val="0"/>
        <w:spacing w:line="600" w:lineRule="exact"/>
        <w:ind w:right="0" w:rightChars="0" w:firstLine="640" w:firstLineChars="200"/>
        <w:textAlignment w:val="auto"/>
        <w:rPr>
          <w:rFonts w:hint="eastAsia"/>
        </w:rPr>
      </w:pPr>
      <w:r>
        <w:rPr>
          <w:rFonts w:hint="eastAsia" w:ascii="仿宋_GB2312" w:hAnsi="仿宋_GB2312" w:eastAsia="仿宋_GB2312" w:cs="仿宋_GB2312"/>
          <w:color w:val="auto"/>
          <w:sz w:val="32"/>
          <w:szCs w:val="32"/>
          <w:highlight w:val="none"/>
        </w:rPr>
        <w:t>（图7：“三公”经费财政拨款支出结构）（饼状图）</w:t>
      </w:r>
    </w:p>
    <w:p>
      <w:pPr>
        <w:pStyle w:val="2"/>
        <w:pageBreakBefore w:val="0"/>
        <w:kinsoku/>
        <w:wordWrap/>
        <w:overflowPunct/>
        <w:topLinePunct w:val="0"/>
        <w:bidi w:val="0"/>
        <w:spacing w:after="0"/>
        <w:ind w:right="0" w:rightChars="0" w:firstLine="640" w:firstLineChars="200"/>
        <w:textAlignment w:val="auto"/>
      </w:pPr>
      <w:r>
        <w:drawing>
          <wp:inline distT="0" distB="0" distL="114300" distR="114300">
            <wp:extent cx="3343275" cy="2371725"/>
            <wp:effectExtent l="4445" t="4445" r="5080" b="5080"/>
            <wp:docPr id="1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4"/>
        <w:rPr>
          <w:rFonts w:hint="eastAsia"/>
        </w:rPr>
      </w:pPr>
    </w:p>
    <w:p>
      <w:pPr>
        <w:numPr>
          <w:ilvl w:val="0"/>
          <w:numId w:val="0"/>
        </w:numPr>
        <w:ind w:left="0" w:leftChars="0" w:firstLine="643" w:firstLineChars="200"/>
        <w:rPr>
          <w:rFonts w:hint="eastAsia" w:ascii="仿宋_GB2312" w:hAnsi="仿宋_GB2312" w:eastAsia="仿宋_GB2312" w:cs="仿宋_GB2312"/>
          <w:color w:val="auto"/>
          <w:szCs w:val="32"/>
          <w:highlight w:val="none"/>
          <w:shd w:val="clear" w:color="auto" w:fill="auto"/>
          <w:lang w:val="en-US" w:eastAsia="zh-CN"/>
        </w:rPr>
      </w:pPr>
      <w:r>
        <w:rPr>
          <w:rFonts w:hint="eastAsia" w:ascii="仿宋_GB2312" w:hAnsi="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因公出国（境）经费支出</w:t>
      </w:r>
      <w:r>
        <w:rPr>
          <w:rFonts w:hint="eastAsia" w:ascii="仿宋_GB2312" w:hAnsi="仿宋_GB2312" w:cs="仿宋_GB2312"/>
          <w:b w:val="0"/>
          <w:bCs/>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Style w:val="15"/>
          <w:rFonts w:hint="eastAsia" w:ascii="仿宋" w:hAnsi="仿宋" w:eastAsia="仿宋"/>
          <w:b w:val="0"/>
          <w:bCs/>
          <w:color w:val="000000"/>
          <w:sz w:val="32"/>
          <w:szCs w:val="32"/>
          <w:lang w:val="en-US" w:eastAsia="zh-CN"/>
        </w:rPr>
        <w:t>2022年未编制</w:t>
      </w:r>
      <w:r>
        <w:rPr>
          <w:rFonts w:hint="eastAsia" w:ascii="仿宋_GB2312" w:eastAsia="仿宋_GB2312"/>
          <w:b w:val="0"/>
          <w:bCs/>
          <w:color w:val="000000"/>
          <w:sz w:val="32"/>
          <w:szCs w:val="32"/>
        </w:rPr>
        <w:t>因公出国（境）</w:t>
      </w:r>
      <w:r>
        <w:rPr>
          <w:rFonts w:hint="eastAsia" w:ascii="仿宋_GB2312"/>
          <w:b w:val="0"/>
          <w:bCs/>
          <w:color w:val="000000"/>
          <w:sz w:val="32"/>
          <w:szCs w:val="32"/>
          <w:lang w:eastAsia="zh-CN"/>
        </w:rPr>
        <w:t>费用预算，</w:t>
      </w:r>
      <w:r>
        <w:rPr>
          <w:rStyle w:val="15"/>
          <w:rFonts w:hint="eastAsia" w:ascii="仿宋" w:hAnsi="仿宋" w:eastAsia="仿宋"/>
          <w:b w:val="0"/>
          <w:bCs/>
          <w:color w:val="000000"/>
          <w:sz w:val="32"/>
          <w:szCs w:val="32"/>
          <w:lang w:val="en-US" w:eastAsia="zh-CN"/>
        </w:rPr>
        <w:t>也未发生因公出国（境）经费支出</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因公出国（境）支出决算</w:t>
      </w:r>
      <w:r>
        <w:rPr>
          <w:rFonts w:hint="eastAsia" w:ascii="仿宋_GB2312"/>
          <w:color w:val="000000"/>
          <w:sz w:val="32"/>
          <w:szCs w:val="32"/>
          <w:lang w:eastAsia="zh-CN"/>
        </w:rPr>
        <w:t>与</w:t>
      </w:r>
      <w:r>
        <w:rPr>
          <w:rFonts w:ascii="仿宋_GB2312" w:eastAsia="仿宋_GB2312"/>
          <w:color w:val="000000"/>
          <w:sz w:val="32"/>
          <w:szCs w:val="32"/>
        </w:rPr>
        <w:t>20</w:t>
      </w:r>
      <w:r>
        <w:rPr>
          <w:rFonts w:hint="eastAsia" w:ascii="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color w:val="000000"/>
          <w:sz w:val="32"/>
          <w:szCs w:val="32"/>
          <w:lang w:eastAsia="zh-CN"/>
        </w:rPr>
        <w:t>持平</w:t>
      </w:r>
      <w:r>
        <w:rPr>
          <w:rFonts w:hint="eastAsia" w:ascii="仿宋_GB2312" w:eastAsia="仿宋_GB2312"/>
          <w:color w:val="000000"/>
          <w:sz w:val="32"/>
          <w:szCs w:val="32"/>
        </w:rPr>
        <w:t>。</w:t>
      </w:r>
    </w:p>
    <w:p>
      <w:pPr>
        <w:pageBreakBefore w:val="0"/>
        <w:kinsoku/>
        <w:wordWrap/>
        <w:overflowPunct/>
        <w:topLinePunct w:val="0"/>
        <w:bidi w:val="0"/>
        <w:spacing w:line="600" w:lineRule="exact"/>
        <w:ind w:right="0" w:righ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cs="仿宋_GB2312"/>
          <w:b w:val="0"/>
          <w:bCs/>
          <w:color w:val="auto"/>
          <w:sz w:val="32"/>
          <w:szCs w:val="32"/>
          <w:highlight w:val="none"/>
          <w:lang w:val="en-US" w:eastAsia="zh-CN"/>
        </w:rPr>
        <w:t>57.01</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年增加</w:t>
      </w:r>
      <w:r>
        <w:rPr>
          <w:rFonts w:hint="eastAsia" w:ascii="仿宋_GB2312" w:hAnsi="仿宋_GB2312" w:cs="仿宋_GB2312"/>
          <w:color w:val="auto"/>
          <w:sz w:val="32"/>
          <w:szCs w:val="32"/>
          <w:highlight w:val="none"/>
          <w:lang w:val="en-US" w:eastAsia="zh-CN"/>
        </w:rPr>
        <w:t>22.60</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auto"/>
          <w:sz w:val="32"/>
          <w:szCs w:val="32"/>
          <w:highlight w:val="none"/>
          <w:lang w:val="en-US" w:eastAsia="zh-CN"/>
        </w:rPr>
        <w:t>65.68</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廉政教育中心新购置一辆业务用车，公务车购置费增加</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cs="仿宋_GB2312"/>
          <w:b w:val="0"/>
          <w:bCs/>
          <w:color w:val="auto"/>
          <w:sz w:val="32"/>
          <w:szCs w:val="32"/>
          <w:highlight w:val="none"/>
          <w:lang w:val="en-US" w:eastAsia="zh-CN"/>
        </w:rPr>
        <w:t>24.41</w:t>
      </w:r>
      <w:r>
        <w:rPr>
          <w:rFonts w:hint="eastAsia" w:ascii="仿宋_GB2312" w:hAnsi="仿宋_GB2312" w:eastAsia="仿宋_GB2312" w:cs="仿宋_GB2312"/>
          <w:color w:val="auto"/>
          <w:sz w:val="32"/>
          <w:szCs w:val="32"/>
          <w:highlight w:val="none"/>
        </w:rPr>
        <w:t>万元。全年新购置</w:t>
      </w:r>
      <w:r>
        <w:rPr>
          <w:rFonts w:hint="eastAsia" w:ascii="仿宋_GB2312" w:hAnsi="仿宋_GB2312" w:cs="仿宋_GB2312"/>
          <w:color w:val="auto"/>
          <w:sz w:val="32"/>
          <w:szCs w:val="32"/>
          <w:highlight w:val="none"/>
          <w:lang w:val="en-US" w:eastAsia="zh-CN"/>
        </w:rPr>
        <w:t>业务</w:t>
      </w:r>
      <w:r>
        <w:rPr>
          <w:rFonts w:hint="eastAsia" w:ascii="仿宋_GB2312" w:hAnsi="仿宋_GB2312" w:eastAsia="仿宋_GB2312" w:cs="仿宋_GB2312"/>
          <w:color w:val="auto"/>
          <w:sz w:val="32"/>
          <w:szCs w:val="32"/>
          <w:highlight w:val="none"/>
        </w:rPr>
        <w:t>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万元，越野车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24.41</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val="en-US" w:eastAsia="zh-CN"/>
        </w:rPr>
        <w:t>留置中心业务用车，</w:t>
      </w:r>
      <w:r>
        <w:rPr>
          <w:rFonts w:hint="eastAsia" w:ascii="仿宋_GB2312" w:hAnsi="仿宋_GB2312" w:eastAsia="仿宋_GB2312" w:cs="仿宋_GB2312"/>
          <w:color w:val="auto"/>
          <w:sz w:val="32"/>
          <w:szCs w:val="32"/>
          <w:highlight w:val="none"/>
        </w:rPr>
        <w:t>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万元。截至20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辆、越野车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p>
    <w:p>
      <w:pPr>
        <w:pageBreakBefore w:val="0"/>
        <w:kinsoku/>
        <w:wordWrap/>
        <w:overflowPunct/>
        <w:topLinePunct w:val="0"/>
        <w:bidi w:val="0"/>
        <w:spacing w:line="580" w:lineRule="atLeast"/>
        <w:ind w:right="0" w:rightChars="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ascii="仿宋_GB2312" w:hAnsi="仿宋_GB2312" w:eastAsia="仿宋_GB2312" w:cs="仿宋_GB2312"/>
          <w:b w:val="0"/>
          <w:bCs/>
          <w:color w:val="auto"/>
          <w:sz w:val="32"/>
          <w:szCs w:val="32"/>
          <w:highlight w:val="none"/>
        </w:rPr>
        <w:t>32.60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Cs w:val="32"/>
          <w:highlight w:val="none"/>
          <w:shd w:val="clear" w:color="auto" w:fill="auto"/>
          <w:lang w:val="en-US" w:eastAsia="zh-CN"/>
        </w:rPr>
        <w:t>市纪委监督保障工作、执纪办案工作</w:t>
      </w:r>
      <w:r>
        <w:rPr>
          <w:rFonts w:hint="eastAsia" w:ascii="仿宋_GB2312" w:hAnsi="仿宋_GB2312" w:eastAsia="仿宋_GB2312" w:cs="仿宋_GB2312"/>
          <w:color w:val="auto"/>
          <w:szCs w:val="32"/>
          <w:highlight w:val="none"/>
          <w:shd w:val="clear" w:color="auto" w:fill="auto"/>
        </w:rPr>
        <w:t>等所需的</w:t>
      </w:r>
      <w:r>
        <w:rPr>
          <w:rFonts w:hint="eastAsia" w:ascii="仿宋_GB2312" w:hAnsi="仿宋_GB2312" w:cs="仿宋_GB2312"/>
          <w:color w:val="auto"/>
          <w:szCs w:val="32"/>
          <w:highlight w:val="none"/>
          <w:shd w:val="clear" w:color="auto" w:fill="auto"/>
          <w:lang w:val="en-US" w:eastAsia="zh-CN"/>
        </w:rPr>
        <w:t>执法执勤、业务</w:t>
      </w:r>
      <w:r>
        <w:rPr>
          <w:rFonts w:hint="eastAsia" w:ascii="仿宋_GB2312" w:hAnsi="仿宋_GB2312" w:eastAsia="仿宋_GB2312" w:cs="仿宋_GB2312"/>
          <w:color w:val="auto"/>
          <w:szCs w:val="32"/>
          <w:highlight w:val="none"/>
          <w:shd w:val="clear" w:color="auto" w:fill="auto"/>
        </w:rPr>
        <w:t>用车</w:t>
      </w:r>
      <w:r>
        <w:rPr>
          <w:rFonts w:hint="eastAsia" w:ascii="仿宋_GB2312" w:hAnsi="仿宋_GB2312" w:cs="仿宋_GB2312"/>
          <w:color w:val="auto"/>
          <w:szCs w:val="32"/>
          <w:highlight w:val="none"/>
          <w:shd w:val="clear" w:color="auto" w:fill="auto"/>
          <w:lang w:val="en-US" w:eastAsia="zh-CN"/>
        </w:rPr>
        <w:t>的</w:t>
      </w:r>
      <w:r>
        <w:rPr>
          <w:rFonts w:hint="eastAsia" w:ascii="仿宋_GB2312" w:hAnsi="仿宋_GB2312" w:eastAsia="仿宋_GB2312" w:cs="仿宋_GB2312"/>
          <w:color w:val="auto"/>
          <w:szCs w:val="32"/>
          <w:highlight w:val="none"/>
          <w:shd w:val="clear" w:color="auto" w:fill="auto"/>
        </w:rPr>
        <w:t>燃料费、维修</w:t>
      </w:r>
      <w:r>
        <w:rPr>
          <w:rFonts w:hint="eastAsia" w:ascii="仿宋_GB2312" w:hAnsi="仿宋_GB2312" w:cs="仿宋_GB2312"/>
          <w:color w:val="auto"/>
          <w:szCs w:val="32"/>
          <w:highlight w:val="none"/>
          <w:shd w:val="clear" w:color="auto" w:fill="auto"/>
          <w:lang w:eastAsia="zh-CN"/>
        </w:rPr>
        <w:t>（</w:t>
      </w:r>
      <w:r>
        <w:rPr>
          <w:rFonts w:hint="eastAsia" w:ascii="仿宋_GB2312" w:hAnsi="仿宋_GB2312" w:cs="仿宋_GB2312"/>
          <w:color w:val="auto"/>
          <w:szCs w:val="32"/>
          <w:highlight w:val="none"/>
          <w:shd w:val="clear" w:color="auto" w:fill="auto"/>
          <w:lang w:val="en-US" w:eastAsia="zh-CN"/>
        </w:rPr>
        <w:t>护</w:t>
      </w:r>
      <w:r>
        <w:rPr>
          <w:rFonts w:hint="eastAsia" w:ascii="仿宋_GB2312" w:hAnsi="仿宋_GB2312" w:cs="仿宋_GB2312"/>
          <w:color w:val="auto"/>
          <w:szCs w:val="32"/>
          <w:highlight w:val="none"/>
          <w:shd w:val="clear" w:color="auto" w:fill="auto"/>
          <w:lang w:eastAsia="zh-CN"/>
        </w:rPr>
        <w:t>）</w:t>
      </w:r>
      <w:r>
        <w:rPr>
          <w:rFonts w:hint="eastAsia" w:ascii="仿宋_GB2312" w:hAnsi="仿宋_GB2312" w:eastAsia="仿宋_GB2312" w:cs="仿宋_GB2312"/>
          <w:color w:val="auto"/>
          <w:szCs w:val="32"/>
          <w:highlight w:val="none"/>
          <w:shd w:val="clear" w:color="auto" w:fill="auto"/>
        </w:rPr>
        <w:t>费、过路过桥费、保险费等支出。</w:t>
      </w:r>
    </w:p>
    <w:p>
      <w:pPr>
        <w:pageBreakBefore w:val="0"/>
        <w:kinsoku/>
        <w:wordWrap/>
        <w:overflowPunct/>
        <w:topLinePunct w:val="0"/>
        <w:bidi w:val="0"/>
        <w:spacing w:line="600" w:lineRule="exact"/>
        <w:ind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eastAsia="仿宋_GB2312" w:cs="仿宋_GB2312"/>
          <w:b w:val="0"/>
          <w:bCs/>
          <w:color w:val="auto"/>
          <w:sz w:val="32"/>
          <w:szCs w:val="32"/>
          <w:highlight w:val="none"/>
        </w:rPr>
        <w:t>4.50</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0.27</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5.66</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根据中央八项规定及</w:t>
      </w:r>
      <w:r>
        <w:rPr>
          <w:rFonts w:hint="eastAsia" w:ascii="仿宋_GB2312" w:hAnsi="仿宋_GB2312" w:eastAsia="仿宋_GB2312" w:cs="仿宋_GB2312"/>
          <w:sz w:val="32"/>
          <w:szCs w:val="32"/>
        </w:rPr>
        <w:t>“三公”经费有关管理制度</w:t>
      </w:r>
      <w:r>
        <w:rPr>
          <w:rFonts w:hint="eastAsia" w:ascii="仿宋_GB2312" w:hAnsi="仿宋_GB2312" w:cs="仿宋_GB2312"/>
          <w:sz w:val="32"/>
          <w:szCs w:val="32"/>
          <w:lang w:eastAsia="zh-CN"/>
        </w:rPr>
        <w:t>，</w:t>
      </w:r>
      <w:r>
        <w:rPr>
          <w:rFonts w:hint="eastAsia" w:ascii="仿宋_GB2312" w:hAnsi="仿宋_GB2312" w:cs="仿宋_GB2312"/>
          <w:color w:val="auto"/>
          <w:sz w:val="32"/>
          <w:szCs w:val="32"/>
          <w:highlight w:val="none"/>
          <w:lang w:val="en-US" w:eastAsia="zh-CN"/>
        </w:rPr>
        <w:t>机关厉行节约，严格按照接待标准接待</w:t>
      </w:r>
      <w:r>
        <w:rPr>
          <w:rFonts w:hint="eastAsia" w:ascii="仿宋_GB2312" w:hAnsi="仿宋_GB2312" w:eastAsia="仿宋_GB2312" w:cs="仿宋_GB2312"/>
          <w:color w:val="auto"/>
          <w:sz w:val="32"/>
          <w:szCs w:val="32"/>
          <w:highlight w:val="none"/>
        </w:rPr>
        <w:t>。其中：</w:t>
      </w:r>
    </w:p>
    <w:p>
      <w:pPr>
        <w:pageBreakBefore w:val="0"/>
        <w:kinsoku/>
        <w:wordWrap/>
        <w:overflowPunct/>
        <w:topLinePunct w:val="0"/>
        <w:bidi w:val="0"/>
        <w:spacing w:line="600" w:lineRule="exact"/>
        <w:ind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国内公务接待支出</w:t>
      </w:r>
      <w:r>
        <w:rPr>
          <w:rFonts w:hint="eastAsia" w:ascii="仿宋_GB2312" w:hAnsi="仿宋_GB2312" w:eastAsia="仿宋_GB2312" w:cs="仿宋_GB2312"/>
          <w:b w:val="0"/>
          <w:bCs/>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万元，主要用于执行公务、开展业务活动开支的交通费、住宿费、用餐费等。国内公务接待</w:t>
      </w:r>
      <w:r>
        <w:rPr>
          <w:rFonts w:hint="eastAsia" w:ascii="仿宋_GB2312" w:hAnsi="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168</w:t>
      </w:r>
      <w:r>
        <w:rPr>
          <w:rFonts w:hint="eastAsia" w:ascii="仿宋_GB2312" w:hAnsi="仿宋_GB2312" w:eastAsia="仿宋_GB2312" w:cs="仿宋_GB2312"/>
          <w:color w:val="auto"/>
          <w:sz w:val="32"/>
          <w:szCs w:val="32"/>
          <w:highlight w:val="none"/>
        </w:rPr>
        <w:t>人次（不包括陪同人员），共计支出</w:t>
      </w:r>
      <w:r>
        <w:rPr>
          <w:rFonts w:hint="eastAsia" w:ascii="仿宋_GB2312" w:hAnsi="仿宋_GB2312" w:cs="仿宋_GB2312"/>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万元，具体内容包括：</w:t>
      </w:r>
      <w:r>
        <w:rPr>
          <w:rFonts w:hint="eastAsia" w:ascii="仿宋_GB2312" w:hAnsi="仿宋_GB2312" w:eastAsia="仿宋_GB2312" w:cs="仿宋_GB2312"/>
          <w:color w:val="auto"/>
          <w:szCs w:val="32"/>
          <w:highlight w:val="none"/>
          <w:shd w:val="clear" w:color="auto" w:fill="auto"/>
          <w:lang w:val="en-US" w:eastAsia="zh-CN"/>
        </w:rPr>
        <w:t>接待餐费4.</w:t>
      </w:r>
      <w:r>
        <w:rPr>
          <w:rFonts w:hint="eastAsia" w:ascii="仿宋_GB2312" w:hAnsi="仿宋_GB2312" w:cs="仿宋_GB2312"/>
          <w:color w:val="auto"/>
          <w:szCs w:val="32"/>
          <w:highlight w:val="none"/>
          <w:shd w:val="clear" w:color="auto" w:fill="auto"/>
          <w:lang w:val="en-US" w:eastAsia="zh-CN"/>
        </w:rPr>
        <w:t>50</w:t>
      </w:r>
      <w:r>
        <w:rPr>
          <w:rFonts w:hint="eastAsia" w:ascii="仿宋_GB2312" w:hAnsi="仿宋_GB2312" w:eastAsia="仿宋_GB2312" w:cs="仿宋_GB2312"/>
          <w:color w:val="auto"/>
          <w:szCs w:val="32"/>
          <w:highlight w:val="none"/>
          <w:shd w:val="clear" w:color="auto" w:fill="auto"/>
          <w:lang w:val="en-US" w:eastAsia="zh-CN"/>
        </w:rPr>
        <w:t>万元</w:t>
      </w:r>
      <w:r>
        <w:rPr>
          <w:rFonts w:hint="eastAsia" w:ascii="仿宋_GB2312" w:hAnsi="仿宋_GB2312" w:cs="仿宋_GB2312"/>
          <w:color w:val="auto"/>
          <w:szCs w:val="32"/>
          <w:highlight w:val="none"/>
          <w:shd w:val="clear" w:color="auto" w:fill="auto"/>
          <w:lang w:val="en-US" w:eastAsia="zh-CN"/>
        </w:rPr>
        <w:t>。</w:t>
      </w:r>
    </w:p>
    <w:p>
      <w:pPr>
        <w:pageBreakBefore w:val="0"/>
        <w:kinsoku/>
        <w:wordWrap/>
        <w:overflowPunct/>
        <w:topLinePunct w:val="0"/>
        <w:bidi w:val="0"/>
        <w:spacing w:line="600" w:lineRule="exact"/>
        <w:ind w:right="0" w:rightChars="0" w:firstLine="643" w:firstLineChars="200"/>
        <w:textAlignment w:val="auto"/>
        <w:rPr>
          <w:rFonts w:ascii="黑体" w:eastAsia="黑体"/>
          <w:color w:val="000000"/>
          <w:sz w:val="32"/>
          <w:szCs w:val="32"/>
        </w:rPr>
      </w:pPr>
      <w:r>
        <w:rPr>
          <w:rFonts w:hint="eastAsia" w:ascii="仿宋_GB2312" w:hAnsi="仿宋_GB2312" w:eastAsia="仿宋_GB2312" w:cs="仿宋_GB2312"/>
          <w:b/>
          <w:color w:val="auto"/>
          <w:sz w:val="32"/>
          <w:szCs w:val="32"/>
          <w:highlight w:val="none"/>
        </w:rPr>
        <w:t>外事接待支出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外事接待</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次（不包括陪同人员）</w:t>
      </w:r>
      <w:r>
        <w:rPr>
          <w:rFonts w:hint="eastAsia" w:ascii="仿宋_GB2312" w:hAnsi="仿宋_GB2312" w:eastAsia="仿宋_GB2312" w:cs="仿宋_GB2312"/>
          <w:color w:val="auto"/>
          <w:sz w:val="32"/>
          <w:szCs w:val="32"/>
          <w:highlight w:val="none"/>
        </w:rPr>
        <w:t>，共计支出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bookmarkStart w:id="137" w:name="_Toc15377218"/>
      <w:bookmarkStart w:id="138" w:name="_Toc15396610"/>
    </w:p>
    <w:p>
      <w:pPr>
        <w:spacing w:line="600" w:lineRule="exact"/>
        <w:ind w:firstLine="640" w:firstLineChars="200"/>
        <w:outlineLvl w:val="1"/>
        <w:rPr>
          <w:rFonts w:hint="eastAsia" w:ascii="黑体" w:hAnsi="黑体" w:eastAsia="黑体"/>
          <w:color w:val="000000"/>
          <w:sz w:val="32"/>
          <w:szCs w:val="32"/>
          <w:lang w:val="en-US" w:eastAsia="zh-CN"/>
        </w:rPr>
      </w:pPr>
      <w:bookmarkStart w:id="139" w:name="_Toc1267697087"/>
      <w:bookmarkStart w:id="140" w:name="_Toc28991"/>
      <w:r>
        <w:rPr>
          <w:rFonts w:hint="eastAsia" w:ascii="黑体" w:hAnsi="黑体" w:eastAsia="黑体"/>
          <w:color w:val="000000"/>
          <w:sz w:val="32"/>
          <w:szCs w:val="32"/>
          <w:lang w:val="en-US" w:eastAsia="zh-CN"/>
        </w:rPr>
        <w:t>八、政府性基金预算支出决算情况说明</w:t>
      </w:r>
      <w:bookmarkEnd w:id="137"/>
      <w:bookmarkEnd w:id="138"/>
      <w:bookmarkEnd w:id="139"/>
      <w:bookmarkEnd w:id="140"/>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141" w:name="_Toc28352"/>
      <w:bookmarkStart w:id="142" w:name="_Toc13695"/>
      <w:r>
        <w:rPr>
          <w:rFonts w:hint="eastAsia" w:ascii="仿宋_GB2312" w:hAnsi="仿宋_GB2312" w:eastAsia="仿宋_GB2312" w:cs="仿宋_GB2312"/>
          <w:color w:val="000000"/>
          <w:sz w:val="32"/>
          <w:szCs w:val="32"/>
          <w:lang w:val="en-US" w:eastAsia="zh-CN"/>
        </w:rPr>
        <w:t>2022年政府性基金预算财政拨款支出0万元</w:t>
      </w:r>
      <w:r>
        <w:rPr>
          <w:rFonts w:hint="eastAsia" w:ascii="黑体" w:hAnsi="黑体" w:eastAsia="黑体"/>
          <w:color w:val="000000"/>
          <w:sz w:val="32"/>
          <w:szCs w:val="32"/>
          <w:lang w:val="en-US" w:eastAsia="zh-CN"/>
        </w:rPr>
        <w:t>。</w:t>
      </w:r>
      <w:bookmarkEnd w:id="141"/>
      <w:bookmarkEnd w:id="142"/>
      <w:r>
        <w:rPr>
          <w:rFonts w:hint="eastAsia" w:ascii="仿宋_GB2312" w:hAnsi="仿宋_GB2312" w:eastAsia="仿宋_GB2312" w:cs="仿宋_GB2312"/>
          <w:color w:val="000000"/>
          <w:sz w:val="32"/>
          <w:szCs w:val="32"/>
          <w:lang w:val="en-US" w:eastAsia="zh-CN"/>
        </w:rPr>
        <w:t>市纪委</w:t>
      </w:r>
      <w:r>
        <w:rPr>
          <w:rFonts w:hint="eastAsia" w:ascii="仿宋_GB2312" w:hAnsi="仿宋_GB2312" w:cs="仿宋_GB2312"/>
          <w:color w:val="000000"/>
          <w:sz w:val="32"/>
          <w:szCs w:val="32"/>
          <w:lang w:val="en-US" w:eastAsia="zh-CN"/>
        </w:rPr>
        <w:t>部门</w:t>
      </w:r>
      <w:r>
        <w:rPr>
          <w:rFonts w:hint="eastAsia" w:ascii="仿宋_GB2312" w:hAnsi="仿宋_GB2312" w:eastAsia="仿宋_GB2312" w:cs="仿宋_GB2312"/>
          <w:color w:val="000000"/>
          <w:sz w:val="32"/>
          <w:szCs w:val="32"/>
          <w:lang w:val="en-US" w:eastAsia="zh-CN"/>
        </w:rPr>
        <w:t>2022年无政府性基金预算财政拨款支出安排。</w:t>
      </w:r>
    </w:p>
    <w:p>
      <w:pPr>
        <w:spacing w:line="600" w:lineRule="exact"/>
        <w:ind w:firstLine="640" w:firstLineChars="200"/>
        <w:outlineLvl w:val="1"/>
        <w:rPr>
          <w:rFonts w:hint="eastAsia" w:ascii="黑体" w:hAnsi="黑体" w:eastAsia="黑体"/>
          <w:color w:val="000000"/>
          <w:sz w:val="32"/>
          <w:szCs w:val="32"/>
          <w:lang w:val="en-US" w:eastAsia="zh-CN"/>
        </w:rPr>
      </w:pPr>
      <w:bookmarkStart w:id="143" w:name="_Toc2081112177"/>
      <w:bookmarkStart w:id="144" w:name="_Toc27127"/>
      <w:bookmarkStart w:id="145" w:name="_Toc15377219"/>
      <w:bookmarkStart w:id="146" w:name="_Toc15396611"/>
      <w:r>
        <w:rPr>
          <w:rFonts w:hint="eastAsia" w:ascii="黑体" w:hAnsi="黑体" w:eastAsia="黑体"/>
          <w:color w:val="000000"/>
          <w:sz w:val="32"/>
          <w:szCs w:val="32"/>
          <w:lang w:val="en-US" w:eastAsia="zh-CN"/>
        </w:rPr>
        <w:t>九、国有资本经营预算支出决算情况说明</w:t>
      </w:r>
      <w:bookmarkEnd w:id="143"/>
      <w:bookmarkEnd w:id="144"/>
      <w:bookmarkEnd w:id="145"/>
      <w:bookmarkEnd w:id="146"/>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147" w:name="_Toc16316"/>
      <w:bookmarkStart w:id="148" w:name="_Toc5783"/>
      <w:r>
        <w:rPr>
          <w:rFonts w:hint="eastAsia" w:ascii="仿宋_GB2312" w:hAnsi="仿宋_GB2312" w:eastAsia="仿宋_GB2312" w:cs="仿宋_GB2312"/>
          <w:color w:val="000000"/>
          <w:sz w:val="32"/>
          <w:szCs w:val="32"/>
          <w:lang w:val="en-US" w:eastAsia="zh-CN"/>
        </w:rPr>
        <w:t>2022年国有资本经营预算财政拨款支出0万元。</w:t>
      </w:r>
      <w:bookmarkEnd w:id="147"/>
      <w:bookmarkEnd w:id="148"/>
      <w:r>
        <w:rPr>
          <w:rFonts w:hint="eastAsia" w:ascii="仿宋_GB2312" w:hAnsi="仿宋_GB2312" w:eastAsia="仿宋_GB2312" w:cs="仿宋_GB2312"/>
          <w:color w:val="000000"/>
          <w:sz w:val="32"/>
          <w:szCs w:val="32"/>
          <w:lang w:val="en-US" w:eastAsia="zh-CN"/>
        </w:rPr>
        <w:t>市纪委</w:t>
      </w:r>
      <w:r>
        <w:rPr>
          <w:rFonts w:hint="eastAsia" w:ascii="仿宋_GB2312" w:hAnsi="仿宋_GB2312" w:cs="仿宋_GB2312"/>
          <w:color w:val="000000"/>
          <w:sz w:val="32"/>
          <w:szCs w:val="32"/>
          <w:lang w:val="en-US" w:eastAsia="zh-CN"/>
        </w:rPr>
        <w:t>部门</w:t>
      </w:r>
      <w:r>
        <w:rPr>
          <w:rFonts w:hint="eastAsia" w:ascii="仿宋_GB2312" w:hAnsi="仿宋_GB2312" w:eastAsia="仿宋_GB2312" w:cs="仿宋_GB2312"/>
          <w:color w:val="000000"/>
          <w:sz w:val="32"/>
          <w:szCs w:val="32"/>
          <w:lang w:val="en-US" w:eastAsia="zh-CN"/>
        </w:rPr>
        <w:t>2022年无国有资本经营预算支出安排。</w:t>
      </w:r>
    </w:p>
    <w:p>
      <w:pPr>
        <w:spacing w:line="600" w:lineRule="exact"/>
        <w:ind w:firstLine="640" w:firstLineChars="200"/>
        <w:outlineLvl w:val="1"/>
        <w:rPr>
          <w:rFonts w:hint="eastAsia" w:ascii="黑体" w:hAnsi="黑体" w:eastAsia="黑体"/>
          <w:color w:val="000000"/>
          <w:sz w:val="32"/>
          <w:szCs w:val="32"/>
          <w:lang w:val="en-US" w:eastAsia="zh-CN"/>
        </w:rPr>
      </w:pPr>
      <w:bookmarkStart w:id="149" w:name="_Toc189374103"/>
      <w:bookmarkStart w:id="150" w:name="_Toc2446"/>
      <w:bookmarkStart w:id="151" w:name="_Toc15377221"/>
      <w:bookmarkStart w:id="152" w:name="_Toc15396612"/>
      <w:bookmarkStart w:id="153" w:name="_Toc21406"/>
      <w:bookmarkStart w:id="154" w:name="_Toc13589"/>
      <w:r>
        <w:rPr>
          <w:rFonts w:hint="eastAsia" w:ascii="黑体" w:hAnsi="黑体" w:eastAsia="黑体"/>
          <w:color w:val="000000"/>
          <w:sz w:val="32"/>
          <w:szCs w:val="32"/>
          <w:lang w:val="en-US" w:eastAsia="zh-CN"/>
        </w:rPr>
        <w:t>十、其他重要事项的情况说明</w:t>
      </w:r>
      <w:bookmarkEnd w:id="149"/>
      <w:bookmarkEnd w:id="150"/>
      <w:bookmarkEnd w:id="151"/>
      <w:bookmarkEnd w:id="152"/>
      <w:bookmarkEnd w:id="153"/>
      <w:bookmarkEnd w:id="154"/>
    </w:p>
    <w:p>
      <w:pPr>
        <w:spacing w:line="600" w:lineRule="exact"/>
        <w:ind w:firstLine="643" w:firstLineChars="200"/>
        <w:outlineLvl w:val="1"/>
        <w:rPr>
          <w:rFonts w:hint="eastAsia" w:ascii="仿宋_GB2312" w:hAnsi="仿宋_GB2312" w:eastAsia="仿宋_GB2312" w:cs="仿宋_GB2312"/>
          <w:b/>
          <w:bCs/>
          <w:color w:val="000000"/>
          <w:sz w:val="32"/>
          <w:szCs w:val="32"/>
        </w:rPr>
      </w:pPr>
      <w:bookmarkStart w:id="155" w:name="_Toc10669"/>
      <w:bookmarkStart w:id="156" w:name="_Toc18758"/>
      <w:bookmarkStart w:id="157" w:name="_Toc15377222"/>
      <w:bookmarkStart w:id="158" w:name="_Toc13150"/>
      <w:bookmarkStart w:id="159" w:name="_Toc16810"/>
      <w:bookmarkStart w:id="160" w:name="_Toc345"/>
      <w:bookmarkStart w:id="161" w:name="_Toc29977"/>
      <w:bookmarkStart w:id="162" w:name="_Toc14054"/>
      <w:r>
        <w:rPr>
          <w:rFonts w:hint="eastAsia" w:ascii="仿宋_GB2312" w:hAnsi="仿宋_GB2312" w:eastAsia="仿宋_GB2312" w:cs="仿宋_GB2312"/>
          <w:b/>
          <w:bCs/>
          <w:color w:val="000000"/>
          <w:sz w:val="32"/>
          <w:szCs w:val="32"/>
        </w:rPr>
        <w:t>（一）机关运行经费支出情况</w:t>
      </w:r>
      <w:bookmarkEnd w:id="155"/>
      <w:bookmarkEnd w:id="156"/>
      <w:bookmarkEnd w:id="157"/>
      <w:bookmarkEnd w:id="158"/>
      <w:bookmarkEnd w:id="159"/>
      <w:bookmarkEnd w:id="160"/>
      <w:bookmarkEnd w:id="161"/>
      <w:bookmarkEnd w:id="162"/>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rPr>
        <w:t>机关运行经费支出</w:t>
      </w:r>
      <w:r>
        <w:rPr>
          <w:rFonts w:hint="eastAsia" w:ascii="仿宋_GB2312" w:hAnsi="仿宋_GB2312" w:cs="仿宋_GB2312"/>
          <w:color w:val="auto"/>
          <w:sz w:val="32"/>
          <w:szCs w:val="32"/>
          <w:highlight w:val="none"/>
          <w:lang w:val="en-US" w:eastAsia="zh-CN"/>
        </w:rPr>
        <w:t>261.71</w:t>
      </w:r>
      <w:r>
        <w:rPr>
          <w:rFonts w:hint="eastAsia" w:ascii="仿宋_GB2312" w:hAnsi="仿宋_GB2312" w:eastAsia="仿宋_GB2312" w:cs="仿宋_GB2312"/>
          <w:color w:val="auto"/>
          <w:sz w:val="32"/>
          <w:szCs w:val="32"/>
          <w:highlight w:val="none"/>
        </w:rPr>
        <w:t>万元，比20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30.61</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10.47</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市纪委机关</w:t>
      </w:r>
      <w:r>
        <w:rPr>
          <w:rFonts w:hint="eastAsia" w:ascii="仿宋_GB2312" w:hAnsi="仿宋_GB2312" w:cs="仿宋_GB2312"/>
          <w:color w:val="000000"/>
          <w:szCs w:val="32"/>
          <w:lang w:val="en-US" w:eastAsia="zh-CN"/>
        </w:rPr>
        <w:t>加强内控制度建设，厉行节约，严格控制日常经费支出</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autoSpaceDE w:val="0"/>
        <w:autoSpaceDN w:val="0"/>
        <w:bidi w:val="0"/>
        <w:adjustRightInd w:val="0"/>
        <w:spacing w:line="600" w:lineRule="exact"/>
        <w:ind w:right="0" w:rightChars="0" w:firstLine="643" w:firstLineChars="200"/>
        <w:jc w:val="left"/>
        <w:textAlignment w:val="auto"/>
        <w:outlineLvl w:val="2"/>
        <w:rPr>
          <w:rFonts w:hint="eastAsia" w:ascii="仿宋_GB2312" w:hAnsi="仿宋_GB2312" w:eastAsia="仿宋_GB2312" w:cs="仿宋_GB2312"/>
          <w:b/>
          <w:color w:val="000000"/>
          <w:sz w:val="32"/>
          <w:szCs w:val="32"/>
        </w:rPr>
      </w:pPr>
      <w:bookmarkStart w:id="163" w:name="_Toc9023"/>
      <w:bookmarkStart w:id="164" w:name="_Toc31389"/>
      <w:bookmarkStart w:id="165" w:name="_Toc14723"/>
      <w:bookmarkStart w:id="166" w:name="_Toc20997"/>
      <w:bookmarkStart w:id="167" w:name="_Toc6546"/>
      <w:bookmarkStart w:id="168" w:name="_Toc15377223"/>
      <w:bookmarkStart w:id="169" w:name="_Toc13910"/>
      <w:bookmarkStart w:id="170" w:name="_Toc26716"/>
      <w:r>
        <w:rPr>
          <w:rFonts w:hint="eastAsia" w:ascii="仿宋_GB2312" w:hAnsi="仿宋_GB2312" w:eastAsia="仿宋_GB2312" w:cs="仿宋_GB2312"/>
          <w:b/>
          <w:color w:val="000000"/>
          <w:sz w:val="32"/>
          <w:szCs w:val="32"/>
        </w:rPr>
        <w:t>（二）政府采购支出情况</w:t>
      </w:r>
      <w:bookmarkEnd w:id="163"/>
      <w:bookmarkEnd w:id="164"/>
      <w:bookmarkEnd w:id="165"/>
      <w:bookmarkEnd w:id="166"/>
      <w:bookmarkEnd w:id="167"/>
      <w:bookmarkEnd w:id="168"/>
      <w:bookmarkEnd w:id="169"/>
      <w:bookmarkEnd w:id="170"/>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022年，市纪委政府采购支出总额194.02万元，其中：政府采购货物支出12.01万元、政府采购工程支出157.70万元、政府采购服务支出24.31万元。主要用于办公设备购置、公务用车燃油费、保险费等支出。授予中小企业合同金额18.12万元，占政府采购支出总额的9.34%，其中：授予小微企业合同金额5万元，占政府采购支出总额的2</w:t>
      </w:r>
      <w:r>
        <w:rPr>
          <w:rFonts w:hint="eastAsia" w:ascii="仿宋_GB2312" w:hAnsi="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lang w:val="en-US" w:eastAsia="zh-CN"/>
        </w:rPr>
        <w:t>%。</w:t>
      </w:r>
    </w:p>
    <w:p>
      <w:pPr>
        <w:pageBreakBefore w:val="0"/>
        <w:kinsoku/>
        <w:wordWrap/>
        <w:overflowPunct/>
        <w:topLinePunct w:val="0"/>
        <w:autoSpaceDE w:val="0"/>
        <w:autoSpaceDN w:val="0"/>
        <w:bidi w:val="0"/>
        <w:adjustRightInd w:val="0"/>
        <w:spacing w:line="600" w:lineRule="exact"/>
        <w:ind w:right="0" w:rightChars="0" w:firstLine="643" w:firstLineChars="200"/>
        <w:jc w:val="left"/>
        <w:textAlignment w:val="auto"/>
        <w:outlineLvl w:val="2"/>
        <w:rPr>
          <w:rFonts w:hint="eastAsia" w:ascii="仿宋_GB2312" w:hAnsi="仿宋_GB2312" w:eastAsia="仿宋_GB2312" w:cs="仿宋_GB2312"/>
          <w:b/>
          <w:color w:val="000000"/>
          <w:sz w:val="32"/>
          <w:szCs w:val="32"/>
        </w:rPr>
      </w:pPr>
      <w:bookmarkStart w:id="171" w:name="_Toc2635"/>
      <w:bookmarkStart w:id="172" w:name="_Toc31341"/>
      <w:bookmarkStart w:id="173" w:name="_Toc10926"/>
      <w:bookmarkStart w:id="174" w:name="_Toc15377224"/>
      <w:bookmarkStart w:id="175" w:name="_Toc22571"/>
      <w:bookmarkStart w:id="176" w:name="_Toc22262"/>
      <w:bookmarkStart w:id="177" w:name="_Toc25702"/>
      <w:bookmarkStart w:id="178" w:name="_Toc6501"/>
      <w:r>
        <w:rPr>
          <w:rFonts w:hint="eastAsia" w:ascii="仿宋_GB2312" w:hAnsi="仿宋_GB2312" w:eastAsia="仿宋_GB2312" w:cs="仿宋_GB2312"/>
          <w:b/>
          <w:color w:val="000000"/>
          <w:sz w:val="32"/>
          <w:szCs w:val="32"/>
        </w:rPr>
        <w:t>（三）国有资产占有使用情况</w:t>
      </w:r>
      <w:bookmarkEnd w:id="171"/>
      <w:bookmarkEnd w:id="172"/>
      <w:bookmarkEnd w:id="173"/>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截至2022年12月31日，市纪委共有车辆15辆，其中：主要领导干部用车0辆、机要通信用车0辆、应急保障用车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辆、其他用车1</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辆，其他用车主要是用于开展监督检查、审查调查工作。单价100万元以上专用设备0台（套）。</w:t>
      </w:r>
    </w:p>
    <w:p>
      <w:pPr>
        <w:pageBreakBefore w:val="0"/>
        <w:kinsoku/>
        <w:wordWrap/>
        <w:overflowPunct/>
        <w:topLinePunct w:val="0"/>
        <w:autoSpaceDE w:val="0"/>
        <w:autoSpaceDN w:val="0"/>
        <w:bidi w:val="0"/>
        <w:adjustRightInd w:val="0"/>
        <w:spacing w:line="600" w:lineRule="exact"/>
        <w:ind w:right="0" w:rightChars="0" w:firstLine="643" w:firstLineChars="200"/>
        <w:jc w:val="left"/>
        <w:textAlignment w:val="auto"/>
        <w:outlineLvl w:val="2"/>
        <w:rPr>
          <w:rFonts w:hint="eastAsia" w:ascii="仿宋_GB2312" w:hAnsi="仿宋_GB2312" w:eastAsia="仿宋_GB2312" w:cs="仿宋_GB2312"/>
          <w:b/>
          <w:color w:val="000000"/>
          <w:sz w:val="32"/>
          <w:szCs w:val="32"/>
        </w:rPr>
      </w:pPr>
      <w:bookmarkStart w:id="179" w:name="_Toc12606"/>
      <w:bookmarkStart w:id="180" w:name="_Toc21807"/>
      <w:bookmarkStart w:id="181" w:name="_Toc2400"/>
      <w:bookmarkStart w:id="182" w:name="_Toc14398"/>
      <w:bookmarkStart w:id="183" w:name="_Toc3348"/>
      <w:bookmarkStart w:id="184" w:name="_Toc24199"/>
      <w:bookmarkStart w:id="185" w:name="_Toc3393"/>
      <w:r>
        <w:rPr>
          <w:rFonts w:hint="eastAsia" w:ascii="仿宋_GB2312" w:hAnsi="仿宋_GB2312" w:eastAsia="仿宋_GB2312" w:cs="仿宋_GB2312"/>
          <w:b/>
          <w:color w:val="000000"/>
          <w:sz w:val="32"/>
          <w:szCs w:val="32"/>
        </w:rPr>
        <w:t>（四）预算绩效管理情况。</w:t>
      </w:r>
      <w:bookmarkEnd w:id="179"/>
      <w:bookmarkEnd w:id="180"/>
      <w:bookmarkEnd w:id="181"/>
      <w:bookmarkEnd w:id="182"/>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根据预算绩效管理要求，本部门在2022年度预算编制阶段，组织对</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en-US" w:eastAsia="zh-CN"/>
        </w:rPr>
        <w:t>市纪委办案工作经费”</w:t>
      </w:r>
      <w:r>
        <w:rPr>
          <w:rFonts w:hint="eastAsia" w:ascii="仿宋_GB2312" w:hAnsi="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val="en-US" w:eastAsia="zh-CN"/>
        </w:rPr>
        <w:t>重点项目编制了绩效目标，预算执行过程中，</w:t>
      </w:r>
      <w:r>
        <w:rPr>
          <w:rFonts w:hint="eastAsia" w:ascii="仿宋_GB2312" w:hAnsi="仿宋_GB2312" w:cs="仿宋_GB2312"/>
          <w:color w:val="auto"/>
          <w:sz w:val="32"/>
          <w:szCs w:val="32"/>
          <w:highlight w:val="none"/>
          <w:lang w:val="en-US" w:eastAsia="zh-CN"/>
        </w:rPr>
        <w:t>对</w:t>
      </w:r>
      <w:r>
        <w:rPr>
          <w:rFonts w:hint="eastAsia" w:ascii="仿宋_GB2312" w:hAnsi="仿宋_GB2312" w:eastAsia="仿宋_GB2312" w:cs="仿宋_GB2312"/>
          <w:color w:val="auto"/>
          <w:sz w:val="32"/>
          <w:szCs w:val="32"/>
          <w:highlight w:val="none"/>
          <w:lang w:val="en-US" w:eastAsia="zh-CN"/>
        </w:rPr>
        <w:t>项目开展</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绩效监控。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en-US" w:eastAsia="zh-CN"/>
        </w:rPr>
        <w:t>组织对2022年度一般公共预算全面开展绩效自评，形成</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市纪委部门整体（含部门预算项目）绩效自评报告、</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en-US" w:eastAsia="zh-CN"/>
        </w:rPr>
        <w:t>市纪委办案工作经费”</w:t>
      </w:r>
      <w:r>
        <w:rPr>
          <w:rFonts w:hint="eastAsia" w:ascii="仿宋_GB2312" w:hAnsi="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val="en-US" w:eastAsia="zh-CN"/>
        </w:rPr>
        <w:t>专项预算项目绩效自评报告</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其中，市纪委部门整体（含部门预算项目）绩效自评得分为9</w:t>
      </w:r>
      <w:r>
        <w:rPr>
          <w:rFonts w:hint="eastAsia" w:ascii="仿宋_GB2312" w:hAnsi="仿宋_GB2312" w:cs="仿宋_GB2312"/>
          <w:color w:val="auto"/>
          <w:sz w:val="32"/>
          <w:szCs w:val="32"/>
          <w:highlight w:val="none"/>
          <w:lang w:val="en-US" w:eastAsia="zh-CN"/>
        </w:rPr>
        <w:t>7.80</w:t>
      </w:r>
      <w:r>
        <w:rPr>
          <w:rFonts w:hint="eastAsia" w:ascii="仿宋_GB2312" w:hAnsi="仿宋_GB2312" w:eastAsia="仿宋_GB2312" w:cs="仿宋_GB2312"/>
          <w:color w:val="auto"/>
          <w:sz w:val="32"/>
          <w:szCs w:val="32"/>
          <w:highlight w:val="none"/>
          <w:lang w:val="en-US" w:eastAsia="zh-CN"/>
        </w:rPr>
        <w:t>分，</w:t>
      </w:r>
      <w:r>
        <w:rPr>
          <w:rFonts w:hint="eastAsia" w:ascii="仿宋_GB2312" w:hAnsi="仿宋_GB2312" w:cs="仿宋_GB2312"/>
          <w:color w:val="auto"/>
          <w:sz w:val="32"/>
          <w:szCs w:val="32"/>
          <w:highlight w:val="none"/>
          <w:lang w:val="en-US" w:eastAsia="zh-CN"/>
        </w:rPr>
        <w:t>详见附件1，项目支出</w:t>
      </w:r>
      <w:r>
        <w:rPr>
          <w:rFonts w:hint="eastAsia" w:ascii="仿宋_GB2312" w:hAnsi="仿宋_GB2312" w:eastAsia="仿宋_GB2312" w:cs="仿宋_GB2312"/>
          <w:color w:val="auto"/>
          <w:sz w:val="32"/>
          <w:szCs w:val="32"/>
          <w:highlight w:val="none"/>
          <w:lang w:val="en-US" w:eastAsia="zh-CN"/>
        </w:rPr>
        <w:t>绩效自评</w:t>
      </w:r>
      <w:r>
        <w:rPr>
          <w:rFonts w:hint="eastAsia" w:ascii="仿宋_GB2312" w:hAnsi="仿宋_GB2312" w:cs="仿宋_GB2312"/>
          <w:color w:val="auto"/>
          <w:sz w:val="32"/>
          <w:szCs w:val="32"/>
          <w:highlight w:val="none"/>
          <w:lang w:val="en-US" w:eastAsia="zh-CN"/>
        </w:rPr>
        <w:t>表详见附件3。绩效自评</w:t>
      </w:r>
      <w:r>
        <w:rPr>
          <w:rFonts w:hint="eastAsia" w:ascii="仿宋_GB2312" w:hAnsi="仿宋_GB2312" w:eastAsia="仿宋_GB2312" w:cs="仿宋_GB2312"/>
          <w:color w:val="auto"/>
          <w:sz w:val="32"/>
          <w:szCs w:val="32"/>
          <w:highlight w:val="none"/>
          <w:lang w:val="en-US" w:eastAsia="zh-CN"/>
        </w:rPr>
        <w:t>综述：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zh-CN" w:eastAsia="zh-CN"/>
        </w:rPr>
        <w:t>按要求，接受上级部门、财政部门的工作监督，按规范程序执行财务支出，较好地实现了预期目标，保证了我市党风廉政建设和反腐败工作</w:t>
      </w:r>
      <w:r>
        <w:rPr>
          <w:rFonts w:hint="eastAsia" w:ascii="仿宋_GB2312" w:hAnsi="仿宋_GB2312" w:cs="仿宋_GB2312"/>
          <w:color w:val="auto"/>
          <w:sz w:val="32"/>
          <w:szCs w:val="32"/>
          <w:highlight w:val="none"/>
          <w:lang w:val="en-US" w:eastAsia="zh-CN"/>
        </w:rPr>
        <w:t>地</w:t>
      </w:r>
      <w:r>
        <w:rPr>
          <w:rFonts w:hint="eastAsia" w:ascii="仿宋_GB2312" w:hAnsi="仿宋_GB2312" w:eastAsia="仿宋_GB2312" w:cs="仿宋_GB2312"/>
          <w:color w:val="auto"/>
          <w:sz w:val="32"/>
          <w:szCs w:val="32"/>
          <w:highlight w:val="none"/>
          <w:lang w:val="zh-CN" w:eastAsia="zh-CN"/>
        </w:rPr>
        <w:t>开展</w:t>
      </w:r>
      <w:bookmarkStart w:id="186" w:name="_Toc867690078"/>
      <w:bookmarkStart w:id="187" w:name="_Toc15396613"/>
      <w:bookmarkStart w:id="188" w:name="_Toc15377225"/>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在编制项目预算过程中</w:t>
      </w:r>
      <w:r>
        <w:rPr>
          <w:rFonts w:hint="eastAsia" w:ascii="仿宋_GB2312" w:hAnsi="仿宋_GB2312" w:eastAsia="仿宋_GB2312" w:cs="仿宋_GB2312"/>
          <w:color w:val="auto"/>
          <w:sz w:val="32"/>
          <w:szCs w:val="32"/>
          <w:highlight w:val="none"/>
          <w:lang w:val="en-US" w:eastAsia="zh-CN"/>
        </w:rPr>
        <w:t>以财政部《项目支出绩效评价指标体系框架》为基础，充分考虑了项目实施背景、总体目标和年度绩效目标等因素，以全管理为主线，加强事前评估、事中监控、事后评价三个关键点管控，进一步强化绩效目标引领和绩效结果应用，切实提升财政资金使用效益，资金的支付范围、支付标准、支付进度、支付依据等合规合法，严格按照《预算法》执行。</w:t>
      </w:r>
    </w:p>
    <w:p>
      <w:pPr>
        <w:pStyle w:val="5"/>
        <w:jc w:val="center"/>
        <w:rPr>
          <w:rFonts w:hint="eastAsia" w:ascii="黑体" w:hAnsi="黑体" w:eastAsia="黑体"/>
          <w:b w:val="0"/>
          <w:lang w:val="en-US" w:eastAsia="zh-CN"/>
        </w:rPr>
      </w:pPr>
      <w:bookmarkStart w:id="189" w:name="_Toc1307"/>
      <w:r>
        <w:rPr>
          <w:rFonts w:hint="eastAsia" w:ascii="黑体" w:hAnsi="黑体" w:eastAsia="黑体"/>
          <w:b w:val="0"/>
          <w:lang w:val="en-US" w:eastAsia="zh-CN"/>
        </w:rPr>
        <w:t>第三部份 名词解释</w:t>
      </w:r>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highlight w:val="none"/>
          <w:lang w:val="en-US" w:eastAsia="zh-CN"/>
        </w:rPr>
        <w:t>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3.一般公共服务（类）纪检监察（款）行政运行（项）：指是纪委监委用于保障机构正常运行、开展日常工作的基本支出。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4.一般公共服务（类）纪检监察（款）一般行政管理事务（项）：开展专项工作的项目经费。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5.一般公共服务（类）纪检监察（款）事业运行（项）：事业基本支出。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6.社会保障和就业（类）行政事业单位养老支出（款）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机关事业单位基本养老保险缴费支出（项）:行政事业单位养老保险支出。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7.社会保障和就业（类）行政事业单位养老支出（款）行政单位离退休费（项）：行政事业单位离退休人员费用。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8.社会保障和就业（类）行政事业单位养老支出（款）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机关事业单位职业年金缴费支出（项）:行政事业单位职业年金支出。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9.社会保障和就业（类）抚恤（款）死亡抚恤（项）:市纪委用于病故职工家属的一次性和定期抚恤金级丧葬补助费。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10.卫生健康（类）行政事业单位医疗（款）行政事业单位医疗（项）:行政事业单位基本医疗保险缴费。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11.住房保障支出（类）住房改革支出（款）住房公积金（项）：按规定为职工个人缴纳的公积金。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auto"/>
          <w:sz w:val="32"/>
          <w:szCs w:val="32"/>
          <w:highlight w:val="none"/>
          <w:lang w:val="en-US" w:eastAsia="zh-CN"/>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jc w:val="center"/>
        <w:rPr>
          <w:rFonts w:hint="eastAsia" w:ascii="黑体" w:hAnsi="黑体" w:eastAsia="黑体"/>
          <w:b w:val="0"/>
          <w:lang w:val="en-US" w:eastAsia="zh-CN"/>
        </w:rPr>
      </w:pPr>
      <w:bookmarkStart w:id="190" w:name="_Toc24019"/>
      <w:bookmarkStart w:id="191" w:name="_Toc15396614"/>
      <w:bookmarkStart w:id="192" w:name="_Toc1484434437"/>
      <w:bookmarkStart w:id="193" w:name="_Toc15377226"/>
      <w:r>
        <w:rPr>
          <w:rFonts w:hint="eastAsia" w:ascii="黑体" w:hAnsi="黑体" w:eastAsia="黑体"/>
          <w:b w:val="0"/>
          <w:lang w:val="en-US" w:eastAsia="zh-CN"/>
        </w:rPr>
        <w:t>第四部分 附件</w:t>
      </w:r>
      <w:bookmarkEnd w:id="190"/>
      <w:bookmarkEnd w:id="191"/>
      <w:bookmarkEnd w:id="192"/>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widowControl w:val="0"/>
        <w:suppressLineNumbers w:val="0"/>
        <w:spacing w:before="0" w:beforeAutospacing="0" w:after="0" w:afterAutospacing="0" w:line="540" w:lineRule="exact"/>
        <w:ind w:left="0" w:right="0"/>
        <w:jc w:val="center"/>
        <w:rPr>
          <w:rFonts w:hint="eastAsia" w:ascii="Times New Roman" w:hAnsi="方正小标宋简体" w:eastAsia="方正小标宋简体" w:cs="方正小标宋简体"/>
          <w:color w:val="000000"/>
          <w:kern w:val="0"/>
          <w:sz w:val="36"/>
          <w:szCs w:val="36"/>
          <w:lang w:val="en-US" w:eastAsia="zh-CN" w:bidi="ar"/>
        </w:rPr>
      </w:pPr>
      <w:r>
        <w:rPr>
          <w:rFonts w:hint="eastAsia" w:ascii="Times New Roman" w:hAnsi="方正小标宋简体" w:eastAsia="方正小标宋简体" w:cs="方正小标宋简体"/>
          <w:color w:val="000000"/>
          <w:kern w:val="0"/>
          <w:sz w:val="36"/>
          <w:szCs w:val="36"/>
          <w:lang w:val="en-US" w:eastAsia="zh-CN" w:bidi="ar"/>
        </w:rPr>
        <w:t>2022年部门</w:t>
      </w:r>
      <w:r>
        <w:rPr>
          <w:rFonts w:hint="eastAsia" w:ascii="Times New Roman" w:hAnsi="方正小标宋简体" w:eastAsia="方正小标宋简体" w:cs="方正小标宋简体"/>
          <w:color w:val="000000"/>
          <w:kern w:val="0"/>
          <w:sz w:val="36"/>
          <w:szCs w:val="36"/>
          <w:lang w:val="zh-CN" w:eastAsia="zh-CN" w:bidi="ar"/>
        </w:rPr>
        <w:t>整体支出绩效评价报告</w:t>
      </w:r>
    </w:p>
    <w:p>
      <w:pPr>
        <w:spacing w:line="600" w:lineRule="exact"/>
        <w:ind w:firstLine="640" w:firstLineChars="200"/>
        <w:outlineLvl w:val="1"/>
        <w:rPr>
          <w:rFonts w:hint="eastAsia" w:ascii="黑体" w:hAnsi="黑体" w:eastAsia="黑体"/>
          <w:color w:val="000000"/>
          <w:sz w:val="32"/>
          <w:szCs w:val="32"/>
          <w:lang w:val="en-US" w:eastAsia="zh-CN"/>
        </w:rPr>
      </w:pPr>
      <w:bookmarkStart w:id="194" w:name="_Toc26790"/>
      <w:bookmarkStart w:id="195" w:name="_Toc8560"/>
      <w:r>
        <w:rPr>
          <w:rFonts w:hint="eastAsia" w:ascii="黑体" w:hAnsi="黑体" w:eastAsia="黑体"/>
          <w:color w:val="000000"/>
          <w:sz w:val="32"/>
          <w:szCs w:val="32"/>
          <w:lang w:val="en-US" w:eastAsia="zh-CN"/>
        </w:rPr>
        <w:t>一、部门（单位）基本情况</w:t>
      </w:r>
      <w:bookmarkEnd w:id="194"/>
      <w:bookmarkEnd w:id="19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（一）机构组成。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市纪委部门下属二级单位3个（含主管部门本级），其中行政单位1个，参照公务员法管理的事业单位0个，其他事业单位2个。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纳入市纪委2022年度部门预决算编制范围的二级预算单位2个包括：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1.中共自贡市纪委机关包含内设机构19个，为机关党委、办公室、组织部、宣传部、法规研究室、党风政风监督室、信访室、案件监督管理室、案件审理室、纪检监察干部监督室、第一到第九纪检监察室。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2.自贡市纪委监委廉政教育中心（自贡市纪委监委信息技术中心并入自贡市纪委监委廉政教育中心预决算）。</w:t>
      </w:r>
    </w:p>
    <w:p>
      <w:pPr>
        <w:spacing w:line="600" w:lineRule="exact"/>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196" w:name="_Toc2626"/>
      <w:bookmarkStart w:id="197" w:name="_Toc21363"/>
      <w:r>
        <w:rPr>
          <w:rFonts w:hint="eastAsia" w:ascii="仿宋_GB2312" w:hAnsi="仿宋_GB2312" w:eastAsia="仿宋_GB2312" w:cs="仿宋_GB2312"/>
          <w:b/>
          <w:bCs/>
          <w:color w:val="auto"/>
          <w:sz w:val="32"/>
          <w:szCs w:val="32"/>
          <w:highlight w:val="none"/>
          <w:lang w:val="en-US" w:eastAsia="zh-CN"/>
        </w:rPr>
        <w:t>（二）机构职能和人员概况。</w:t>
      </w:r>
      <w:bookmarkEnd w:id="196"/>
      <w:bookmarkEnd w:id="19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负责党的纪律检查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负责纪检监察系统领导班子建设、干部队伍建设和组织建设的综合规划、政策研究、制度建设和业务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022年市纪委</w:t>
      </w:r>
      <w:r>
        <w:rPr>
          <w:rFonts w:hint="eastAsia" w:ascii="仿宋_GB2312" w:hAnsi="仿宋_GB2312" w:cs="仿宋_GB2312"/>
          <w:color w:val="auto"/>
          <w:sz w:val="32"/>
          <w:szCs w:val="32"/>
          <w:highlight w:val="none"/>
          <w:lang w:val="en-US" w:eastAsia="zh-CN"/>
        </w:rPr>
        <w:t>机关</w:t>
      </w:r>
      <w:r>
        <w:rPr>
          <w:rFonts w:hint="eastAsia" w:ascii="仿宋_GB2312" w:hAnsi="仿宋_GB2312" w:eastAsia="仿宋_GB2312" w:cs="仿宋_GB2312"/>
          <w:color w:val="auto"/>
          <w:sz w:val="32"/>
          <w:szCs w:val="32"/>
          <w:highlight w:val="none"/>
          <w:lang w:val="en-US" w:eastAsia="zh-CN"/>
        </w:rPr>
        <w:t>行政编制81人，机关工勤编制4人，下属事业单位事业编制22人。截至2022年12月31日，工资系统实有人数行政人员72 人，工勤3人，市纪委监委廉政教育中心（含信息技术中心）事业人员13人，部门合计88人。</w:t>
      </w:r>
    </w:p>
    <w:p>
      <w:pPr>
        <w:widowControl/>
        <w:numPr>
          <w:ilvl w:val="0"/>
          <w:numId w:val="0"/>
        </w:numPr>
        <w:autoSpaceDE w:val="0"/>
        <w:adjustRightInd w:val="0"/>
        <w:snapToGrid w:val="0"/>
        <w:spacing w:line="560" w:lineRule="exact"/>
        <w:ind w:firstLine="643" w:firstLineChars="200"/>
        <w:contextualSpacing/>
        <w:jc w:val="left"/>
        <w:rPr>
          <w:rFonts w:hint="eastAsia" w:ascii="楷体_GB2312" w:eastAsia="楷体_GB2312"/>
          <w:b/>
          <w:bCs/>
          <w:color w:val="000000"/>
          <w:kern w:val="0"/>
          <w:shd w:val="clear" w:color="auto" w:fill="FFFFFF"/>
        </w:rPr>
      </w:pPr>
      <w:r>
        <w:rPr>
          <w:rFonts w:hint="eastAsia" w:ascii="楷体_GB2312" w:eastAsia="楷体_GB2312"/>
          <w:b/>
          <w:bCs/>
          <w:color w:val="000000"/>
          <w:kern w:val="0"/>
          <w:shd w:val="clear" w:color="auto" w:fill="FFFFFF"/>
          <w:lang w:eastAsia="zh-CN"/>
        </w:rPr>
        <w:t>（</w:t>
      </w:r>
      <w:r>
        <w:rPr>
          <w:rFonts w:hint="eastAsia" w:ascii="楷体_GB2312" w:eastAsia="楷体_GB2312"/>
          <w:b/>
          <w:bCs/>
          <w:color w:val="000000"/>
          <w:kern w:val="0"/>
          <w:shd w:val="clear" w:color="auto" w:fill="FFFFFF"/>
          <w:lang w:val="en-US" w:eastAsia="zh-CN"/>
        </w:rPr>
        <w:t>三</w:t>
      </w:r>
      <w:r>
        <w:rPr>
          <w:rFonts w:hint="eastAsia" w:ascii="楷体_GB2312" w:eastAsia="楷体_GB2312"/>
          <w:b/>
          <w:bCs/>
          <w:color w:val="000000"/>
          <w:kern w:val="0"/>
          <w:shd w:val="clear" w:color="auto" w:fill="FFFFFF"/>
          <w:lang w:eastAsia="zh-CN"/>
        </w:rPr>
        <w:t>）</w:t>
      </w:r>
      <w:r>
        <w:rPr>
          <w:rFonts w:hint="eastAsia" w:ascii="楷体_GB2312" w:eastAsia="楷体_GB2312"/>
          <w:b/>
          <w:bCs/>
          <w:color w:val="000000"/>
          <w:kern w:val="0"/>
          <w:shd w:val="clear" w:color="auto" w:fill="FFFFFF"/>
        </w:rPr>
        <w:t>年度主要工作任务。</w:t>
      </w:r>
    </w:p>
    <w:p>
      <w:pPr>
        <w:keepNext w:val="0"/>
        <w:keepLines w:val="0"/>
        <w:pageBreakBefore w:val="0"/>
        <w:widowControl/>
        <w:kinsoku/>
        <w:wordWrap/>
        <w:overflowPunct/>
        <w:topLinePunct w:val="0"/>
        <w:autoSpaceDE/>
        <w:autoSpaceDN/>
        <w:bidi w:val="0"/>
        <w:adjustRightInd w:val="0"/>
        <w:snapToGrid w:val="0"/>
        <w:spacing w:line="592" w:lineRule="exact"/>
        <w:ind w:left="0" w:leftChars="0" w:right="0" w:rightChars="0" w:firstLine="643"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b/>
          <w:bCs/>
          <w:sz w:val="32"/>
          <w:szCs w:val="32"/>
          <w:lang w:val="en-US" w:eastAsia="zh-CN"/>
        </w:rPr>
        <w:t>1.</w:t>
      </w:r>
      <w:r>
        <w:rPr>
          <w:rFonts w:hint="default" w:ascii="仿宋_GB2312" w:hAnsi="仿宋_GB2312" w:eastAsia="仿宋_GB2312" w:cs="仿宋_GB2312"/>
          <w:b/>
          <w:bCs/>
          <w:sz w:val="32"/>
          <w:szCs w:val="32"/>
          <w:lang w:eastAsia="zh-CN"/>
        </w:rPr>
        <w:t>精准开展政治监督，坚决捍卫“两个确立”</w:t>
      </w:r>
      <w:r>
        <w:rPr>
          <w:rFonts w:hint="eastAsia" w:ascii="仿宋_GB2312" w:hAnsi="仿宋_GB2312" w:cs="仿宋_GB2312"/>
          <w:b/>
          <w:bCs/>
          <w:sz w:val="32"/>
          <w:szCs w:val="32"/>
          <w:lang w:eastAsia="zh-CN"/>
        </w:rPr>
        <w:t>，</w:t>
      </w:r>
      <w:r>
        <w:rPr>
          <w:rFonts w:hint="default" w:ascii="仿宋_GB2312" w:hAnsi="仿宋_GB2312" w:eastAsia="仿宋_GB2312" w:cs="仿宋_GB2312"/>
          <w:b/>
          <w:bCs/>
          <w:sz w:val="32"/>
          <w:szCs w:val="32"/>
          <w:lang w:eastAsia="zh-CN"/>
        </w:rPr>
        <w:t>做到</w:t>
      </w:r>
      <w:r>
        <w:rPr>
          <w:rFonts w:hint="eastAsia" w:ascii="仿宋_GB2312" w:hAnsi="仿宋_GB2312" w:cs="仿宋_GB2312"/>
          <w:b/>
          <w:bCs/>
          <w:sz w:val="32"/>
          <w:szCs w:val="32"/>
          <w:lang w:eastAsia="zh-CN"/>
        </w:rPr>
        <w:t>“</w:t>
      </w:r>
      <w:r>
        <w:rPr>
          <w:rFonts w:hint="default" w:ascii="仿宋_GB2312" w:hAnsi="仿宋_GB2312" w:eastAsia="仿宋_GB2312" w:cs="仿宋_GB2312"/>
          <w:b/>
          <w:bCs/>
          <w:sz w:val="32"/>
          <w:szCs w:val="32"/>
          <w:lang w:eastAsia="zh-CN"/>
        </w:rPr>
        <w:t>两个维护</w:t>
      </w:r>
      <w:r>
        <w:rPr>
          <w:rFonts w:hint="eastAsia" w:ascii="仿宋_GB2312" w:hAnsi="仿宋_GB2312" w:cs="仿宋_GB2312"/>
          <w:b/>
          <w:bCs/>
          <w:sz w:val="32"/>
          <w:szCs w:val="32"/>
          <w:lang w:eastAsia="zh-CN"/>
        </w:rPr>
        <w:t>”</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color w:val="auto"/>
          <w:sz w:val="32"/>
          <w:szCs w:val="32"/>
          <w:highlight w:val="none"/>
          <w:lang w:val="en-US" w:eastAsia="zh-CN"/>
        </w:rPr>
        <w:t>紧盯党的二十大精神和习近平总书记来川视察重要指示精神贯彻落实，制定关于推动</w:t>
      </w:r>
      <w:r>
        <w:rPr>
          <w:rFonts w:hint="eastAsia" w:ascii="仿宋_GB2312" w:hAnsi="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清单+台账”定期督查、动态销号，督促各级各部门将思想和行动统一到以习近平同志为核心的党中央各项决策部署上来。紧扣省委、市委工作会议要求，联合市委目标绩效办开展</w:t>
      </w:r>
      <w:r>
        <w:rPr>
          <w:rFonts w:hint="default" w:ascii="仿宋_GB2312" w:hAnsi="仿宋_GB2312" w:eastAsia="仿宋_GB2312" w:cs="仿宋_GB2312"/>
          <w:color w:val="auto"/>
          <w:sz w:val="32"/>
          <w:szCs w:val="32"/>
          <w:highlight w:val="none"/>
          <w:lang w:val="en" w:eastAsia="zh-CN"/>
        </w:rPr>
        <w:t>“两个统筹”</w:t>
      </w:r>
      <w:r>
        <w:rPr>
          <w:rFonts w:hint="eastAsia" w:ascii="仿宋_GB2312" w:hAnsi="仿宋_GB2312" w:cs="仿宋_GB2312"/>
          <w:color w:val="auto"/>
          <w:sz w:val="32"/>
          <w:szCs w:val="32"/>
          <w:highlight w:val="none"/>
          <w:lang w:val="en" w:eastAsia="zh-CN"/>
        </w:rPr>
        <w:t>、</w:t>
      </w:r>
      <w:r>
        <w:rPr>
          <w:rFonts w:hint="default" w:ascii="仿宋_GB2312" w:hAnsi="仿宋_GB2312" w:eastAsia="仿宋_GB2312" w:cs="仿宋_GB2312"/>
          <w:color w:val="auto"/>
          <w:sz w:val="32"/>
          <w:szCs w:val="32"/>
          <w:highlight w:val="none"/>
          <w:lang w:val="en" w:eastAsia="zh-CN"/>
        </w:rPr>
        <w:t>“拼经济搞建设”等专项监督，严肃查处行动少落实差、</w:t>
      </w:r>
      <w:r>
        <w:rPr>
          <w:rFonts w:hint="default" w:ascii="仿宋_GB2312" w:hAnsi="仿宋_GB2312" w:eastAsia="仿宋_GB2312" w:cs="仿宋_GB2312"/>
          <w:color w:val="auto"/>
          <w:sz w:val="32"/>
          <w:szCs w:val="32"/>
          <w:highlight w:val="none"/>
          <w:lang w:val="en-US" w:eastAsia="zh-CN"/>
        </w:rPr>
        <w:t>不担当不作为</w:t>
      </w:r>
      <w:r>
        <w:rPr>
          <w:rFonts w:hint="default" w:ascii="仿宋_GB2312" w:hAnsi="仿宋_GB2312" w:eastAsia="仿宋_GB2312" w:cs="仿宋_GB2312"/>
          <w:color w:val="auto"/>
          <w:sz w:val="32"/>
          <w:szCs w:val="32"/>
          <w:highlight w:val="none"/>
          <w:lang w:val="en" w:eastAsia="zh-CN"/>
        </w:rPr>
        <w:t>等问题44起92人</w:t>
      </w:r>
      <w:r>
        <w:rPr>
          <w:rFonts w:hint="default" w:ascii="仿宋_GB2312" w:hAnsi="仿宋_GB2312" w:eastAsia="仿宋_GB2312" w:cs="仿宋_GB2312"/>
          <w:color w:val="auto"/>
          <w:sz w:val="32"/>
          <w:szCs w:val="32"/>
          <w:highlight w:val="none"/>
          <w:lang w:val="en-US" w:eastAsia="zh-CN"/>
        </w:rPr>
        <w:t>。</w:t>
      </w:r>
    </w:p>
    <w:p>
      <w:pPr>
        <w:widowControl/>
        <w:numPr>
          <w:ilvl w:val="0"/>
          <w:numId w:val="0"/>
        </w:numPr>
        <w:adjustRightInd w:val="0"/>
        <w:snapToGrid w:val="0"/>
        <w:spacing w:line="592" w:lineRule="exact"/>
        <w:ind w:firstLine="643"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鲜明大抓基层导向，着力提升基层监督工作质效</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color w:val="auto"/>
          <w:sz w:val="32"/>
          <w:szCs w:val="32"/>
          <w:highlight w:val="none"/>
          <w:lang w:val="en-US" w:eastAsia="zh-CN"/>
        </w:rPr>
        <w:t>紧扣加强县乡基层党风廉政建设各项部署，构建市县乡村统筹联动工作体系，组建28个“委领导+室组地”协作片区，划拨基层阵地建设专项资金370万元，全覆盖建成113间乡镇（街道）谈话室，制发《乡镇（街道）纪检监察组织谈话室设置和使用管理指引》，有力加强阵地建设。</w:t>
      </w:r>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kern w:val="2"/>
          <w:sz w:val="32"/>
          <w:szCs w:val="32"/>
          <w:lang w:val="en-US" w:eastAsia="zh-CN" w:bidi="ar-SA"/>
        </w:rPr>
        <w:t>3.</w:t>
      </w:r>
      <w:r>
        <w:rPr>
          <w:rFonts w:hint="eastAsia" w:ascii="仿宋_GB2312" w:hAnsi="仿宋_GB2312" w:eastAsia="仿宋_GB2312" w:cs="仿宋_GB2312"/>
          <w:b/>
          <w:bCs/>
          <w:kern w:val="2"/>
          <w:sz w:val="32"/>
          <w:szCs w:val="32"/>
          <w:lang w:val="en-US" w:eastAsia="zh-CN" w:bidi="ar-SA"/>
        </w:rPr>
        <w:t>一体推进“三不腐”，坚决打赢反腐败斗争攻坚战持久战</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auto"/>
          <w:sz w:val="32"/>
          <w:szCs w:val="32"/>
          <w:highlight w:val="none"/>
          <w:lang w:val="en-US" w:eastAsia="zh-CN"/>
        </w:rPr>
        <w:t>协助市委制定《关于全面深化标本兼治一体推进不敢腐不能腐不想腐实施意见》，紧密贯通严厉惩治、规范权力、教育引导。开展举办“喜迎二十大·绘出清廉风”自贡市首届原创廉洁漫画暨动漫短视频大赛，会同川南渝西4市4区纪检监察机关共建警示教育案例库，廉洁自贡文化品牌影响力不断攀升。</w:t>
      </w:r>
    </w:p>
    <w:p>
      <w:pPr>
        <w:widowControl/>
        <w:numPr>
          <w:ilvl w:val="0"/>
          <w:numId w:val="0"/>
        </w:numPr>
        <w:adjustRightInd w:val="0"/>
        <w:snapToGrid w:val="0"/>
        <w:spacing w:line="592"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kern w:val="2"/>
          <w:sz w:val="32"/>
          <w:szCs w:val="32"/>
          <w:lang w:val="en-US" w:eastAsia="zh-CN" w:bidi="ar-SA"/>
        </w:rPr>
        <w:t>4.</w:t>
      </w:r>
      <w:r>
        <w:rPr>
          <w:rFonts w:hint="default" w:ascii="Times New Roman" w:hAnsi="Times New Roman" w:eastAsia="楷体_GB2312" w:cs="Times New Roman"/>
          <w:b/>
          <w:sz w:val="32"/>
          <w:szCs w:val="32"/>
          <w:lang w:eastAsia="zh-CN"/>
        </w:rPr>
        <w:t>持续加强自身建设，锻造政治强业务精作风实的纪检监察铁军。</w:t>
      </w:r>
      <w:r>
        <w:rPr>
          <w:rFonts w:hint="default" w:ascii="仿宋_GB2312" w:hAnsi="仿宋_GB2312" w:eastAsia="仿宋_GB2312" w:cs="仿宋_GB2312"/>
          <w:color w:val="auto"/>
          <w:sz w:val="32"/>
          <w:szCs w:val="32"/>
          <w:highlight w:val="none"/>
          <w:lang w:val="en-US" w:eastAsia="zh-CN"/>
        </w:rPr>
        <w:t>模范践行“打铁必须自身硬”严格要求，强化政治机关属性。坚持“第一议题”制度，市纪委常委会带头学习宣传贯彻党</w:t>
      </w:r>
      <w:r>
        <w:rPr>
          <w:rFonts w:hint="eastAsia" w:ascii="仿宋_GB2312" w:hAnsi="仿宋_GB2312" w:eastAsia="仿宋_GB2312" w:cs="仿宋_GB2312"/>
          <w:color w:val="auto"/>
          <w:sz w:val="32"/>
          <w:szCs w:val="32"/>
          <w:highlight w:val="none"/>
          <w:lang w:val="en-US" w:eastAsia="zh-CN"/>
        </w:rPr>
        <w:t>的</w:t>
      </w:r>
      <w:r>
        <w:rPr>
          <w:rFonts w:hint="default" w:ascii="仿宋_GB2312" w:hAnsi="仿宋_GB2312" w:eastAsia="仿宋_GB2312" w:cs="仿宋_GB2312"/>
          <w:color w:val="auto"/>
          <w:sz w:val="32"/>
          <w:szCs w:val="32"/>
          <w:highlight w:val="none"/>
          <w:lang w:val="en-US" w:eastAsia="zh-CN"/>
        </w:rPr>
        <w:t>二十大精神及习近平总书记来川视察</w:t>
      </w:r>
      <w:r>
        <w:rPr>
          <w:rFonts w:hint="eastAsia" w:ascii="仿宋_GB2312" w:hAnsi="仿宋_GB2312" w:eastAsia="仿宋_GB2312" w:cs="仿宋_GB2312"/>
          <w:color w:val="auto"/>
          <w:sz w:val="32"/>
          <w:szCs w:val="32"/>
          <w:highlight w:val="none"/>
          <w:lang w:val="en-US" w:eastAsia="zh-CN"/>
        </w:rPr>
        <w:t>重要</w:t>
      </w:r>
      <w:r>
        <w:rPr>
          <w:rFonts w:hint="default" w:ascii="仿宋_GB2312" w:hAnsi="仿宋_GB2312" w:eastAsia="仿宋_GB2312" w:cs="仿宋_GB2312"/>
          <w:color w:val="auto"/>
          <w:sz w:val="32"/>
          <w:szCs w:val="32"/>
          <w:highlight w:val="none"/>
          <w:lang w:val="en-US" w:eastAsia="zh-CN"/>
        </w:rPr>
        <w:t>指示精神，分层组织开展宣讲。严格落实“两为主一报告”，分别向省纪委监委和市委书面请示报告28次、17次。开办“廉洁自贡”大讲堂，评选全市纪检监察系统“十佳精品案件”，部署开展纪检监察机关信息化建设应用“三年攻坚行动”，编印委</w:t>
      </w:r>
      <w:r>
        <w:rPr>
          <w:rFonts w:hint="eastAsia" w:ascii="仿宋_GB2312" w:hAnsi="仿宋_GB2312" w:eastAsia="仿宋_GB2312" w:cs="仿宋_GB2312"/>
          <w:color w:val="auto"/>
          <w:sz w:val="32"/>
          <w:szCs w:val="32"/>
          <w:highlight w:val="none"/>
          <w:lang w:val="en-US" w:eastAsia="zh-CN"/>
        </w:rPr>
        <w:t>机关</w:t>
      </w:r>
      <w:r>
        <w:rPr>
          <w:rFonts w:hint="default" w:ascii="仿宋_GB2312" w:hAnsi="仿宋_GB2312" w:eastAsia="仿宋_GB2312" w:cs="仿宋_GB2312"/>
          <w:color w:val="auto"/>
          <w:sz w:val="32"/>
          <w:szCs w:val="32"/>
          <w:highlight w:val="none"/>
          <w:lang w:val="en-US" w:eastAsia="zh-CN"/>
        </w:rPr>
        <w:t>日常运行制度汇编，助力全市纪检监察机关规范化、法治化、正规化建设。</w:t>
      </w:r>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lang w:val="en-US" w:eastAsia="zh-CN"/>
        </w:rPr>
        <w:t>部门整体支出绩效目标。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198" w:name="_Toc32513"/>
      <w:bookmarkStart w:id="199" w:name="_Toc14419"/>
      <w:bookmarkStart w:id="200" w:name="_Toc4671"/>
      <w:bookmarkStart w:id="201" w:name="_Toc5700"/>
      <w:bookmarkStart w:id="202" w:name="_Toc23384"/>
      <w:r>
        <w:rPr>
          <w:rFonts w:hint="eastAsia" w:ascii="Times New Roman" w:hAnsi="Times New Roman" w:eastAsia="仿宋_GB2312" w:cs="Times New Roman"/>
          <w:b w:val="0"/>
          <w:kern w:val="2"/>
          <w:sz w:val="32"/>
          <w:szCs w:val="32"/>
          <w:lang w:val="en-US" w:eastAsia="zh-CN" w:bidi="ar-SA"/>
        </w:rPr>
        <w:t>市</w:t>
      </w:r>
      <w:r>
        <w:rPr>
          <w:rFonts w:hint="eastAsia" w:ascii="仿宋_GB2312" w:hAnsi="仿宋_GB2312" w:eastAsia="仿宋_GB2312" w:cs="仿宋_GB2312"/>
          <w:color w:val="auto"/>
          <w:sz w:val="32"/>
          <w:szCs w:val="32"/>
          <w:highlight w:val="none"/>
          <w:lang w:val="en-US" w:eastAsia="zh-CN"/>
        </w:rPr>
        <w:t>纪委坚持以习近平新时代中国特色社会主义思想为指导，坚持政治统领，在忠诚捍卫“两个确立”、坚决做到“两个维护”上毫不动摇，系统思维</w:t>
      </w:r>
      <w:r>
        <w:rPr>
          <w:rFonts w:hint="eastAsia" w:ascii="仿宋_GB2312" w:hAnsi="仿宋_GB2312" w:cs="仿宋_GB2312"/>
          <w:color w:val="auto"/>
          <w:sz w:val="32"/>
          <w:szCs w:val="32"/>
          <w:highlight w:val="none"/>
          <w:lang w:val="en-US" w:eastAsia="zh-CN"/>
        </w:rPr>
        <w:t>统筹谋划</w:t>
      </w:r>
      <w:r>
        <w:rPr>
          <w:rFonts w:hint="eastAsia" w:ascii="仿宋_GB2312" w:hAnsi="仿宋_GB2312" w:eastAsia="仿宋_GB2312" w:cs="仿宋_GB2312"/>
          <w:color w:val="auto"/>
          <w:sz w:val="32"/>
          <w:szCs w:val="32"/>
          <w:highlight w:val="none"/>
          <w:lang w:val="en-US" w:eastAsia="zh-CN"/>
        </w:rPr>
        <w:t>，在实现“三不腐”一体推进、综合施治上精准发力。</w:t>
      </w:r>
      <w:bookmarkEnd w:id="198"/>
      <w:bookmarkEnd w:id="199"/>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zh-CN" w:eastAsia="zh-CN"/>
        </w:rPr>
        <w:t>按照20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年部门预算编审要求，根据</w:t>
      </w:r>
      <w:r>
        <w:rPr>
          <w:rFonts w:hint="eastAsia" w:ascii="仿宋_GB2312" w:hAnsi="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lang w:val="zh-CN" w:eastAsia="zh-CN"/>
        </w:rPr>
        <w:t>职能职责，结合中长期规划和年度工作计划，明确了年度主要工作任务及所要达到的总体产出和效果，科学合理的</w:t>
      </w:r>
      <w:r>
        <w:rPr>
          <w:rFonts w:hint="eastAsia" w:ascii="仿宋_GB2312" w:hAnsi="仿宋_GB2312" w:eastAsia="仿宋_GB2312" w:cs="仿宋_GB2312"/>
          <w:color w:val="auto"/>
          <w:sz w:val="32"/>
          <w:szCs w:val="32"/>
          <w:highlight w:val="none"/>
          <w:lang w:val="en-US" w:eastAsia="zh-CN"/>
        </w:rPr>
        <w:t>设立</w:t>
      </w:r>
      <w:r>
        <w:rPr>
          <w:rFonts w:hint="eastAsia" w:ascii="仿宋_GB2312" w:hAnsi="仿宋_GB2312" w:eastAsia="仿宋_GB2312" w:cs="仿宋_GB2312"/>
          <w:color w:val="auto"/>
          <w:sz w:val="32"/>
          <w:szCs w:val="32"/>
          <w:highlight w:val="none"/>
          <w:lang w:val="zh-CN" w:eastAsia="zh-CN"/>
        </w:rPr>
        <w:t>了“</w:t>
      </w:r>
      <w:r>
        <w:rPr>
          <w:rFonts w:hint="eastAsia" w:ascii="仿宋_GB2312" w:hAnsi="仿宋_GB2312" w:eastAsia="仿宋_GB2312" w:cs="仿宋_GB2312"/>
          <w:color w:val="auto"/>
          <w:sz w:val="32"/>
          <w:szCs w:val="32"/>
          <w:highlight w:val="none"/>
          <w:lang w:val="en-US" w:eastAsia="zh-CN"/>
        </w:rPr>
        <w:t>市纪委办案工作经费”、“</w:t>
      </w:r>
      <w:r>
        <w:rPr>
          <w:rFonts w:hint="eastAsia" w:ascii="仿宋_GB2312" w:hAnsi="仿宋_GB2312" w:cs="仿宋_GB2312"/>
          <w:color w:val="auto"/>
          <w:sz w:val="32"/>
          <w:szCs w:val="32"/>
          <w:highlight w:val="none"/>
          <w:lang w:val="en-US" w:eastAsia="zh-CN"/>
        </w:rPr>
        <w:t>廉政教育中心</w:t>
      </w:r>
      <w:r>
        <w:rPr>
          <w:rFonts w:hint="eastAsia" w:ascii="仿宋_GB2312" w:hAnsi="仿宋_GB2312" w:eastAsia="仿宋_GB2312" w:cs="仿宋_GB2312"/>
          <w:color w:val="auto"/>
          <w:sz w:val="32"/>
          <w:szCs w:val="32"/>
          <w:highlight w:val="none"/>
          <w:lang w:val="en-US" w:eastAsia="zh-CN"/>
        </w:rPr>
        <w:t>政治生态建设社会评价专项经费”、“</w:t>
      </w: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en-US" w:eastAsia="zh-CN"/>
        </w:rPr>
        <w:t>档案数字化建设项目”、“廉政教育中心运转经费”等项目，</w:t>
      </w:r>
      <w:r>
        <w:rPr>
          <w:rFonts w:hint="eastAsia" w:ascii="仿宋_GB2312" w:hAnsi="仿宋_GB2312" w:eastAsia="仿宋_GB2312" w:cs="仿宋_GB2312"/>
          <w:color w:val="auto"/>
          <w:sz w:val="32"/>
          <w:szCs w:val="32"/>
          <w:highlight w:val="none"/>
          <w:lang w:val="zh-CN" w:eastAsia="zh-CN"/>
        </w:rPr>
        <w:t>具体说明了项目概况，设定了年度绩效数量指标、成本指标、效益指标</w:t>
      </w:r>
      <w:r>
        <w:rPr>
          <w:rFonts w:hint="eastAsia" w:ascii="仿宋_GB2312" w:hAnsi="仿宋_GB2312" w:cs="仿宋_GB2312"/>
          <w:color w:val="auto"/>
          <w:sz w:val="32"/>
          <w:szCs w:val="32"/>
          <w:highlight w:val="none"/>
          <w:lang w:val="zh-CN" w:eastAsia="zh-CN"/>
        </w:rPr>
        <w:t>、</w:t>
      </w:r>
      <w:r>
        <w:rPr>
          <w:rFonts w:hint="eastAsia" w:ascii="仿宋_GB2312" w:hAnsi="仿宋_GB2312" w:cs="仿宋_GB2312"/>
          <w:color w:val="auto"/>
          <w:sz w:val="32"/>
          <w:szCs w:val="32"/>
          <w:highlight w:val="none"/>
          <w:lang w:val="en-US" w:eastAsia="zh-CN"/>
        </w:rPr>
        <w:t>满意度等指标，</w:t>
      </w:r>
      <w:r>
        <w:rPr>
          <w:rFonts w:hint="eastAsia" w:ascii="仿宋_GB2312" w:hAnsi="仿宋_GB2312" w:eastAsia="仿宋_GB2312" w:cs="仿宋_GB2312"/>
          <w:color w:val="auto"/>
          <w:sz w:val="32"/>
          <w:szCs w:val="32"/>
          <w:highlight w:val="none"/>
          <w:lang w:val="zh-CN" w:eastAsia="zh-CN"/>
        </w:rPr>
        <w:t>详细反映了相应项目工作任务、达成的效果。</w:t>
      </w:r>
      <w:r>
        <w:rPr>
          <w:rFonts w:hint="eastAsia" w:ascii="仿宋_GB2312" w:hAnsi="仿宋_GB2312" w:eastAsia="仿宋_GB2312" w:cs="仿宋_GB2312"/>
          <w:color w:val="auto"/>
          <w:sz w:val="32"/>
          <w:szCs w:val="32"/>
          <w:highlight w:val="none"/>
          <w:lang w:val="en-US" w:eastAsia="zh-CN"/>
        </w:rPr>
        <w:t>市纪委积极履职，强化管理，较好地完成了年度工作目标。通过加强预算收支管理，不断建立健全内部管理制度，梳理内部管理流程，部门整体支出管理水平得到提升。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zh-CN" w:eastAsia="zh-CN"/>
        </w:rPr>
        <w:t>认真组织开展所属单位的绩效监控工作，对项目进度、预算执行、投入产出、各项效益的阶段完成情况进行动态监控，提高财政资金的使用效益，预</w:t>
      </w:r>
      <w:r>
        <w:rPr>
          <w:rFonts w:hint="eastAsia" w:ascii="仿宋_GB2312" w:hAnsi="仿宋_GB2312" w:eastAsia="仿宋_GB2312" w:cs="仿宋_GB2312"/>
          <w:color w:val="auto"/>
          <w:sz w:val="32"/>
          <w:szCs w:val="32"/>
          <w:highlight w:val="none"/>
          <w:lang w:val="en-US" w:eastAsia="zh-CN"/>
        </w:rPr>
        <w:t>算完成情况较好，无违纪违规等情况。</w:t>
      </w:r>
    </w:p>
    <w:p>
      <w:pPr>
        <w:spacing w:line="600" w:lineRule="exact"/>
        <w:ind w:firstLine="640" w:firstLineChars="200"/>
        <w:outlineLvl w:val="1"/>
        <w:rPr>
          <w:rFonts w:hint="eastAsia" w:ascii="黑体" w:hAnsi="黑体" w:eastAsia="黑体"/>
          <w:color w:val="000000"/>
          <w:sz w:val="32"/>
          <w:szCs w:val="32"/>
          <w:lang w:val="en-US" w:eastAsia="zh-CN"/>
        </w:rPr>
      </w:pPr>
      <w:bookmarkStart w:id="203" w:name="_Toc7682"/>
      <w:bookmarkStart w:id="204" w:name="_Toc14509"/>
      <w:r>
        <w:rPr>
          <w:rFonts w:hint="eastAsia" w:ascii="黑体" w:hAnsi="黑体" w:eastAsia="黑体"/>
          <w:color w:val="000000"/>
          <w:sz w:val="32"/>
          <w:szCs w:val="32"/>
          <w:lang w:val="en-US" w:eastAsia="zh-CN"/>
        </w:rPr>
        <w:t>二、部门资金收支情况</w:t>
      </w:r>
      <w:bookmarkEnd w:id="203"/>
      <w:bookmarkEnd w:id="204"/>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right="0" w:rightChars="0" w:firstLine="321" w:firstLineChars="1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（一）部门总体收支情况。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1.部门总体收入情况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年本部门</w:t>
      </w:r>
      <w:r>
        <w:rPr>
          <w:rFonts w:hint="eastAsia" w:ascii="仿宋_GB2312" w:hAnsi="仿宋_GB2312" w:eastAsia="仿宋_GB2312" w:cs="仿宋_GB2312"/>
          <w:color w:val="auto"/>
          <w:sz w:val="32"/>
          <w:szCs w:val="32"/>
          <w:highlight w:val="none"/>
          <w:lang w:val="en-US" w:eastAsia="zh-CN"/>
        </w:rPr>
        <w:t>收入</w:t>
      </w:r>
      <w:r>
        <w:rPr>
          <w:rFonts w:hint="eastAsia" w:ascii="仿宋_GB2312" w:hAnsi="仿宋_GB2312" w:eastAsia="仿宋_GB2312" w:cs="仿宋_GB2312"/>
          <w:color w:val="auto"/>
          <w:sz w:val="32"/>
          <w:szCs w:val="32"/>
          <w:highlight w:val="none"/>
          <w:lang w:val="zh-CN" w:eastAsia="zh-CN"/>
        </w:rPr>
        <w:t>总额为</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w:t>
      </w:r>
      <w:r>
        <w:rPr>
          <w:rFonts w:hint="eastAsia" w:ascii="仿宋_GB2312" w:hAnsi="仿宋_GB2312" w:eastAsia="仿宋_GB2312" w:cs="仿宋_GB2312"/>
          <w:color w:val="auto"/>
          <w:sz w:val="32"/>
          <w:szCs w:val="32"/>
          <w:highlight w:val="none"/>
          <w:lang w:val="en-US" w:eastAsia="zh-CN"/>
        </w:rPr>
        <w:t>均为</w:t>
      </w:r>
      <w:r>
        <w:rPr>
          <w:rFonts w:hint="eastAsia" w:ascii="仿宋_GB2312" w:hAnsi="仿宋_GB2312" w:eastAsia="仿宋_GB2312" w:cs="仿宋_GB2312"/>
          <w:color w:val="auto"/>
          <w:sz w:val="32"/>
          <w:szCs w:val="32"/>
          <w:highlight w:val="none"/>
          <w:lang w:val="zh-CN" w:eastAsia="zh-CN"/>
        </w:rPr>
        <w:t>当年财政拨款收入。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2.部门总体支出情况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年本部门</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lang w:val="zh-CN" w:eastAsia="zh-CN"/>
        </w:rPr>
        <w:t>总额为</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w:t>
      </w:r>
      <w:r>
        <w:rPr>
          <w:rFonts w:hint="eastAsia" w:ascii="仿宋_GB2312" w:hAnsi="仿宋_GB2312" w:eastAsia="仿宋_GB2312" w:cs="仿宋_GB2312"/>
          <w:color w:val="auto"/>
          <w:sz w:val="32"/>
          <w:szCs w:val="32"/>
          <w:highlight w:val="none"/>
          <w:lang w:val="en-US" w:eastAsia="zh-CN"/>
        </w:rPr>
        <w:t>均为</w:t>
      </w:r>
      <w:r>
        <w:rPr>
          <w:rFonts w:hint="eastAsia" w:ascii="仿宋_GB2312" w:hAnsi="仿宋_GB2312" w:eastAsia="仿宋_GB2312" w:cs="仿宋_GB2312"/>
          <w:color w:val="auto"/>
          <w:sz w:val="32"/>
          <w:szCs w:val="32"/>
          <w:highlight w:val="none"/>
          <w:lang w:val="zh-CN" w:eastAsia="zh-CN"/>
        </w:rPr>
        <w:t>当年财政拨款</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（二）部门财政拨款收支情况。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1.部门财政拨款收入情况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年本部门财政拨款收入决算总额为</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万元，其中：当年财政拨款收入</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万元（一般公共预算财政拨款收入</w:t>
      </w:r>
      <w:r>
        <w:rPr>
          <w:rFonts w:hint="eastAsia" w:ascii="仿宋_GB2312" w:hAnsi="仿宋_GB2312" w:eastAsia="仿宋_GB2312" w:cs="仿宋_GB2312"/>
          <w:color w:val="auto"/>
          <w:sz w:val="32"/>
          <w:szCs w:val="32"/>
          <w:highlight w:val="none"/>
          <w:lang w:val="en-US" w:eastAsia="zh-CN"/>
        </w:rPr>
        <w:t>3597.01万元，政府性基金预算财政拨款收入0万元</w:t>
      </w:r>
      <w:r>
        <w:rPr>
          <w:rFonts w:hint="eastAsia" w:ascii="仿宋_GB2312" w:hAnsi="仿宋_GB2312" w:eastAsia="仿宋_GB2312" w:cs="仿宋_GB2312"/>
          <w:color w:val="auto"/>
          <w:sz w:val="32"/>
          <w:szCs w:val="32"/>
          <w:highlight w:val="none"/>
          <w:lang w:val="zh-CN" w:eastAsia="zh-CN"/>
        </w:rPr>
        <w:t>），上年财政拨款结转结余</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zh-CN"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2.部门财政拨款支出情况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w:t>
      </w:r>
      <w:r>
        <w:rPr>
          <w:rFonts w:hint="eastAsia" w:ascii="仿宋_GB2312" w:hAnsi="仿宋_GB2312" w:eastAsia="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zh-CN" w:eastAsia="zh-CN"/>
        </w:rPr>
        <w:t>部门财政拨款</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lang w:val="zh-CN" w:eastAsia="zh-CN"/>
        </w:rPr>
        <w:t>决算总额为</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万元，其中按支出功能分类：一般公共服务支出</w:t>
      </w:r>
      <w:r>
        <w:rPr>
          <w:rFonts w:hint="eastAsia" w:ascii="仿宋_GB2312" w:hAnsi="仿宋_GB2312" w:eastAsia="仿宋_GB2312" w:cs="仿宋_GB2312"/>
          <w:color w:val="auto"/>
          <w:sz w:val="32"/>
          <w:szCs w:val="32"/>
          <w:highlight w:val="none"/>
          <w:lang w:val="en-US" w:eastAsia="zh-CN"/>
        </w:rPr>
        <w:t>3073.47</w:t>
      </w:r>
      <w:r>
        <w:rPr>
          <w:rFonts w:hint="eastAsia" w:ascii="仿宋_GB2312" w:hAnsi="仿宋_GB2312" w:eastAsia="仿宋_GB2312" w:cs="仿宋_GB2312"/>
          <w:color w:val="auto"/>
          <w:sz w:val="32"/>
          <w:szCs w:val="32"/>
          <w:highlight w:val="none"/>
          <w:lang w:val="zh-CN" w:eastAsia="zh-CN"/>
        </w:rPr>
        <w:t>万元，社会保障和就业支出</w:t>
      </w:r>
      <w:r>
        <w:rPr>
          <w:rFonts w:hint="eastAsia" w:ascii="仿宋_GB2312" w:hAnsi="仿宋_GB2312" w:eastAsia="仿宋_GB2312" w:cs="仿宋_GB2312"/>
          <w:color w:val="auto"/>
          <w:sz w:val="32"/>
          <w:szCs w:val="32"/>
          <w:highlight w:val="none"/>
          <w:lang w:val="en-US" w:eastAsia="zh-CN"/>
        </w:rPr>
        <w:t>316.97</w:t>
      </w:r>
      <w:r>
        <w:rPr>
          <w:rFonts w:hint="eastAsia" w:ascii="仿宋_GB2312" w:hAnsi="仿宋_GB2312" w:eastAsia="仿宋_GB2312" w:cs="仿宋_GB2312"/>
          <w:color w:val="auto"/>
          <w:sz w:val="32"/>
          <w:szCs w:val="32"/>
          <w:highlight w:val="none"/>
          <w:lang w:val="zh-CN" w:eastAsia="zh-CN"/>
        </w:rPr>
        <w:t>万元，卫生健康支出</w:t>
      </w:r>
      <w:r>
        <w:rPr>
          <w:rFonts w:hint="eastAsia" w:ascii="仿宋_GB2312" w:hAnsi="仿宋_GB2312" w:eastAsia="仿宋_GB2312" w:cs="仿宋_GB2312"/>
          <w:color w:val="auto"/>
          <w:sz w:val="32"/>
          <w:szCs w:val="32"/>
          <w:highlight w:val="none"/>
          <w:lang w:val="en-US" w:eastAsia="zh-CN"/>
        </w:rPr>
        <w:t>78.65</w:t>
      </w:r>
      <w:r>
        <w:rPr>
          <w:rFonts w:hint="eastAsia" w:ascii="仿宋_GB2312" w:hAnsi="仿宋_GB2312" w:eastAsia="仿宋_GB2312" w:cs="仿宋_GB2312"/>
          <w:color w:val="auto"/>
          <w:sz w:val="32"/>
          <w:szCs w:val="32"/>
          <w:highlight w:val="none"/>
          <w:lang w:val="zh-CN" w:eastAsia="zh-CN"/>
        </w:rPr>
        <w:t>万元，住房保障支出</w:t>
      </w:r>
      <w:r>
        <w:rPr>
          <w:rFonts w:hint="eastAsia" w:ascii="仿宋_GB2312" w:hAnsi="仿宋_GB2312" w:eastAsia="仿宋_GB2312" w:cs="仿宋_GB2312"/>
          <w:color w:val="auto"/>
          <w:sz w:val="32"/>
          <w:szCs w:val="32"/>
          <w:highlight w:val="none"/>
          <w:lang w:val="en-US" w:eastAsia="zh-CN"/>
        </w:rPr>
        <w:t>127.92</w:t>
      </w:r>
      <w:r>
        <w:rPr>
          <w:rFonts w:hint="eastAsia" w:ascii="仿宋_GB2312" w:hAnsi="仿宋_GB2312" w:eastAsia="仿宋_GB2312" w:cs="仿宋_GB2312"/>
          <w:color w:val="auto"/>
          <w:sz w:val="32"/>
          <w:szCs w:val="32"/>
          <w:highlight w:val="none"/>
          <w:lang w:val="zh-CN" w:eastAsia="zh-CN"/>
        </w:rPr>
        <w:t>万元。按支出性质分类：基本支出</w:t>
      </w:r>
      <w:r>
        <w:rPr>
          <w:rFonts w:hint="eastAsia" w:ascii="仿宋_GB2312" w:hAnsi="仿宋_GB2312" w:eastAsia="仿宋_GB2312" w:cs="仿宋_GB2312"/>
          <w:color w:val="auto"/>
          <w:sz w:val="32"/>
          <w:szCs w:val="32"/>
          <w:highlight w:val="none"/>
          <w:lang w:val="en-US" w:eastAsia="zh-CN"/>
        </w:rPr>
        <w:t>1997.92</w:t>
      </w:r>
      <w:r>
        <w:rPr>
          <w:rFonts w:hint="eastAsia" w:ascii="仿宋_GB2312" w:hAnsi="仿宋_GB2312" w:eastAsia="仿宋_GB2312" w:cs="仿宋_GB2312"/>
          <w:color w:val="auto"/>
          <w:sz w:val="32"/>
          <w:szCs w:val="32"/>
          <w:highlight w:val="none"/>
          <w:lang w:val="zh-CN" w:eastAsia="zh-CN"/>
        </w:rPr>
        <w:t>万元，项目支出</w:t>
      </w:r>
      <w:r>
        <w:rPr>
          <w:rFonts w:hint="eastAsia" w:ascii="仿宋_GB2312" w:hAnsi="仿宋_GB2312" w:eastAsia="仿宋_GB2312" w:cs="仿宋_GB2312"/>
          <w:color w:val="auto"/>
          <w:sz w:val="32"/>
          <w:szCs w:val="32"/>
          <w:highlight w:val="none"/>
          <w:lang w:val="en-US" w:eastAsia="zh-CN"/>
        </w:rPr>
        <w:t>1599.09</w:t>
      </w:r>
      <w:r>
        <w:rPr>
          <w:rFonts w:hint="eastAsia" w:ascii="仿宋_GB2312" w:hAnsi="仿宋_GB2312" w:eastAsia="仿宋_GB2312" w:cs="仿宋_GB2312"/>
          <w:color w:val="auto"/>
          <w:sz w:val="32"/>
          <w:szCs w:val="32"/>
          <w:highlight w:val="none"/>
          <w:lang w:val="zh-CN" w:eastAsia="zh-CN"/>
        </w:rPr>
        <w:t>万元。</w:t>
      </w:r>
    </w:p>
    <w:p>
      <w:pPr>
        <w:spacing w:line="600" w:lineRule="exact"/>
        <w:ind w:firstLine="640" w:firstLineChars="200"/>
        <w:outlineLvl w:val="1"/>
        <w:rPr>
          <w:rFonts w:hint="eastAsia" w:ascii="黑体" w:hAnsi="黑体" w:eastAsia="黑体"/>
          <w:color w:val="000000"/>
          <w:sz w:val="32"/>
          <w:szCs w:val="32"/>
          <w:lang w:val="en-US" w:eastAsia="zh-CN"/>
        </w:rPr>
      </w:pPr>
      <w:bookmarkStart w:id="205" w:name="_Toc20878"/>
      <w:bookmarkStart w:id="206" w:name="_Toc31886"/>
      <w:r>
        <w:rPr>
          <w:rFonts w:hint="eastAsia" w:ascii="黑体" w:hAnsi="黑体" w:eastAsia="黑体"/>
          <w:color w:val="000000"/>
          <w:sz w:val="32"/>
          <w:szCs w:val="32"/>
          <w:lang w:val="en-US" w:eastAsia="zh-CN"/>
        </w:rPr>
        <w:t>三、部门整体绩效分析</w:t>
      </w:r>
      <w:bookmarkEnd w:id="205"/>
      <w:bookmarkEnd w:id="206"/>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left="0" w:leftChars="0" w:right="0" w:rightChars="0" w:firstLine="964"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（一）部门预算项目绩效分析</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1.人员类项目绩效分析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2022年市纪委部门人员类项目预算严格执行相关政策，保障工资及时、足额发放</w:t>
      </w:r>
      <w:r>
        <w:rPr>
          <w:rFonts w:hint="eastAsia" w:ascii="仿宋_GB2312" w:hAnsi="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val="en-US" w:eastAsia="zh-CN"/>
        </w:rPr>
        <w:t>社保及时、足额缴纳，预算编制科学合理，无结余资金，无违规记录等情况。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2.运转类项目绩效分析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2022年市纪委部门运转类项目主要是常年专项项目，项目按照要求编制了产出、效益、满意度指标，并对项目完成情况实行监督、分析，为提高预算编制质量，严格执行预算，提供了</w:t>
      </w:r>
      <w:r>
        <w:rPr>
          <w:rFonts w:hint="eastAsia" w:ascii="仿宋_GB2312" w:hAnsi="仿宋_GB2312" w:cs="仿宋_GB2312"/>
          <w:color w:val="auto"/>
          <w:sz w:val="32"/>
          <w:szCs w:val="32"/>
          <w:highlight w:val="none"/>
          <w:lang w:val="en-US" w:eastAsia="zh-CN"/>
        </w:rPr>
        <w:t>依据</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3.特定目标类项目绩效分析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特定目标类项目主要是通过罚没收入返还款开展的项目。在编制项目预算中</w:t>
      </w:r>
      <w:r>
        <w:rPr>
          <w:rFonts w:hint="eastAsia" w:ascii="仿宋_GB2312" w:hAnsi="仿宋_GB2312" w:eastAsia="仿宋_GB2312" w:cs="仿宋_GB2312"/>
          <w:color w:val="auto"/>
          <w:sz w:val="32"/>
          <w:szCs w:val="32"/>
          <w:highlight w:val="none"/>
          <w:lang w:val="zh-CN" w:eastAsia="zh-CN"/>
        </w:rPr>
        <w:t>说明了项目概况，设定了年度绩效数量指标、成本指标、效益指标</w:t>
      </w:r>
      <w:r>
        <w:rPr>
          <w:rFonts w:hint="eastAsia" w:ascii="仿宋_GB2312" w:hAnsi="仿宋_GB2312" w:cs="仿宋_GB2312"/>
          <w:color w:val="auto"/>
          <w:sz w:val="32"/>
          <w:szCs w:val="32"/>
          <w:highlight w:val="none"/>
          <w:lang w:val="zh-CN" w:eastAsia="zh-CN"/>
        </w:rPr>
        <w:t>、</w:t>
      </w:r>
      <w:r>
        <w:rPr>
          <w:rFonts w:hint="eastAsia" w:ascii="仿宋_GB2312" w:hAnsi="仿宋_GB2312" w:cs="仿宋_GB2312"/>
          <w:color w:val="auto"/>
          <w:sz w:val="32"/>
          <w:szCs w:val="32"/>
          <w:highlight w:val="none"/>
          <w:lang w:val="en-US" w:eastAsia="zh-CN"/>
        </w:rPr>
        <w:t>满意度等指标，</w:t>
      </w:r>
      <w:r>
        <w:rPr>
          <w:rFonts w:hint="eastAsia" w:ascii="仿宋_GB2312" w:hAnsi="仿宋_GB2312" w:eastAsia="仿宋_GB2312" w:cs="仿宋_GB2312"/>
          <w:color w:val="auto"/>
          <w:sz w:val="32"/>
          <w:szCs w:val="32"/>
          <w:highlight w:val="none"/>
          <w:lang w:val="zh-CN" w:eastAsia="zh-CN"/>
        </w:rPr>
        <w:t>详细反映了相应项目工作任务、达成的效果，</w:t>
      </w:r>
      <w:r>
        <w:rPr>
          <w:rFonts w:hint="eastAsia" w:ascii="仿宋_GB2312" w:hAnsi="仿宋_GB2312" w:cs="仿宋_GB2312"/>
          <w:color w:val="auto"/>
          <w:sz w:val="32"/>
          <w:szCs w:val="32"/>
          <w:highlight w:val="none"/>
          <w:lang w:val="en-US" w:eastAsia="zh-CN"/>
        </w:rPr>
        <w:t>预算金额。</w:t>
      </w:r>
      <w:r>
        <w:rPr>
          <w:rFonts w:hint="eastAsia" w:ascii="仿宋_GB2312" w:hAnsi="仿宋_GB2312" w:eastAsia="仿宋_GB2312" w:cs="仿宋_GB2312"/>
          <w:color w:val="auto"/>
          <w:sz w:val="32"/>
          <w:szCs w:val="32"/>
          <w:highlight w:val="none"/>
          <w:lang w:val="en-US" w:eastAsia="zh-CN"/>
        </w:rPr>
        <w:t>为加大执纪审查和监察调查工作力度，</w:t>
      </w:r>
      <w:r>
        <w:rPr>
          <w:rFonts w:hint="eastAsia" w:ascii="仿宋_GB2312" w:hAnsi="仿宋_GB2312" w:cs="仿宋_GB2312"/>
          <w:color w:val="auto"/>
          <w:sz w:val="32"/>
          <w:szCs w:val="32"/>
          <w:highlight w:val="none"/>
          <w:lang w:val="en-US" w:eastAsia="zh-CN"/>
        </w:rPr>
        <w:t>加强纪检监察系统各项硬件设施建设提供了有力的资金保障。</w:t>
      </w:r>
    </w:p>
    <w:p>
      <w:pPr>
        <w:widowControl/>
        <w:autoSpaceDE w:val="0"/>
        <w:adjustRightInd w:val="0"/>
        <w:snapToGrid w:val="0"/>
        <w:spacing w:line="560" w:lineRule="exact"/>
        <w:ind w:firstLine="643" w:firstLineChars="200"/>
        <w:contextualSpacing/>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（二）部门整体履职绩效分析</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围绕部门整体绩效目标完成情况和部门履职情况进行绩效分析。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市纪委部门年初预算数为2308万元，决算数为3597.01，执行率100%。主要用于人员类经费、公用经费、项目运转类经费支出。年底，我部门对预算编制中的各项绩效指标完成情况进行了认真梳理，实现项目绩效自评全覆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强化预算组织领导，严格落实党政机关过紧日子的要求，做到花钱与办事、绩效与责任深度融合，把财政资金用到刀刃上。切实提高政治站位，树牢绩效意识，强化责任担当，细化明确财务部门和业务部门责任分工，切实将绩效评价结果作为完善政策、改进管理和调整预算的重要依据，对发现的问题深入剖，扎实地开展了绩效评价工作。</w:t>
      </w:r>
    </w:p>
    <w:p>
      <w:pPr>
        <w:widowControl/>
        <w:numPr>
          <w:ilvl w:val="0"/>
          <w:numId w:val="0"/>
        </w:numPr>
        <w:autoSpaceDE w:val="0"/>
        <w:adjustRightInd w:val="0"/>
        <w:snapToGrid w:val="0"/>
        <w:spacing w:line="560" w:lineRule="exact"/>
        <w:ind w:firstLine="643" w:firstLineChars="200"/>
        <w:contextualSpacing/>
        <w:jc w:val="left"/>
        <w:rPr>
          <w:rFonts w:hint="eastAsia" w:ascii="楷体_GB2312" w:eastAsia="楷体_GB2312"/>
          <w:b/>
          <w:bCs/>
          <w:color w:val="000000"/>
          <w:kern w:val="0"/>
          <w:shd w:val="clear" w:color="auto" w:fill="FFFFFF"/>
        </w:rPr>
      </w:pPr>
      <w:r>
        <w:rPr>
          <w:rFonts w:hint="eastAsia" w:ascii="仿宋_GB2312" w:hAnsi="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lang w:val="en-US" w:eastAsia="zh-CN"/>
        </w:rPr>
        <w:t>结果应用情况</w:t>
      </w:r>
      <w:r>
        <w:rPr>
          <w:rFonts w:hint="eastAsia" w:ascii="楷体_GB2312" w:eastAsia="楷体_GB2312"/>
          <w:b/>
          <w:bCs/>
          <w:color w:val="000000"/>
          <w:kern w:val="0"/>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市纪委对部门预算绩效管理工作开展情况认真进行了自评。</w:t>
      </w:r>
      <w:r>
        <w:rPr>
          <w:rFonts w:hint="eastAsia" w:ascii="仿宋_GB2312" w:hAnsi="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绩效自评覆盖下属单位及重点支出领域，将评价结果作为预算安排的重要依据，参照项目年度预算执行情况、“三年滚动规划”执行情况统筹项目支出需求，不断强化绩效理念，提高绩效执行质量，推动我部门整体绩效管理水平不断提升。</w:t>
      </w:r>
    </w:p>
    <w:p>
      <w:pPr>
        <w:widowControl/>
        <w:numPr>
          <w:ilvl w:val="0"/>
          <w:numId w:val="0"/>
        </w:numPr>
        <w:autoSpaceDE w:val="0"/>
        <w:adjustRightInd w:val="0"/>
        <w:snapToGrid w:val="0"/>
        <w:spacing w:line="560" w:lineRule="exact"/>
        <w:ind w:firstLine="643" w:firstLineChars="200"/>
        <w:contextualSpacing/>
        <w:jc w:val="left"/>
        <w:rPr>
          <w:rFonts w:hint="eastAsia" w:ascii="楷体_GB2312" w:eastAsia="楷体_GB2312"/>
          <w:b/>
          <w:bCs/>
          <w:color w:val="000000"/>
          <w:kern w:val="0"/>
          <w:shd w:val="clear" w:color="auto" w:fill="FFFFFF"/>
        </w:rPr>
      </w:pPr>
      <w:r>
        <w:rPr>
          <w:rFonts w:hint="eastAsia" w:ascii="仿宋_GB2312" w:hAnsi="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lang w:val="en-US" w:eastAsia="zh-CN"/>
        </w:rPr>
        <w:t>自评质量。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zh-CN"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w:t>
      </w:r>
      <w:r>
        <w:rPr>
          <w:rFonts w:hint="eastAsia" w:ascii="仿宋_GB2312" w:hAnsi="仿宋_GB2312" w:eastAsia="仿宋_GB2312" w:cs="仿宋_GB2312"/>
          <w:color w:val="auto"/>
          <w:sz w:val="32"/>
          <w:szCs w:val="32"/>
          <w:highlight w:val="none"/>
          <w:lang w:val="en-US" w:eastAsia="zh-CN"/>
        </w:rPr>
        <w:t>预</w:t>
      </w:r>
      <w:r>
        <w:rPr>
          <w:rFonts w:hint="eastAsia" w:ascii="仿宋_GB2312" w:hAnsi="仿宋_GB2312" w:eastAsia="仿宋_GB2312" w:cs="仿宋_GB2312"/>
          <w:color w:val="auto"/>
          <w:sz w:val="32"/>
          <w:szCs w:val="32"/>
          <w:highlight w:val="none"/>
          <w:lang w:val="zh-CN" w:eastAsia="zh-CN"/>
        </w:rPr>
        <w:t>算编制、报送及时合规、预算执行到位。</w:t>
      </w:r>
      <w:r>
        <w:rPr>
          <w:rFonts w:hint="eastAsia" w:ascii="仿宋_GB2312" w:hAnsi="仿宋_GB2312" w:eastAsia="仿宋_GB2312" w:cs="仿宋_GB2312"/>
          <w:color w:val="auto"/>
          <w:sz w:val="32"/>
          <w:szCs w:val="32"/>
          <w:highlight w:val="none"/>
          <w:lang w:val="en-US" w:eastAsia="zh-CN"/>
        </w:rPr>
        <w:t>预算执行中，严格按照年初预算批复</w:t>
      </w:r>
      <w:r>
        <w:rPr>
          <w:rFonts w:hint="eastAsia" w:ascii="仿宋_GB2312" w:hAnsi="仿宋_GB2312" w:cs="仿宋_GB2312"/>
          <w:color w:val="auto"/>
          <w:sz w:val="32"/>
          <w:szCs w:val="32"/>
          <w:highlight w:val="none"/>
          <w:lang w:val="en-US" w:eastAsia="zh-CN"/>
        </w:rPr>
        <w:t>执行，实行</w:t>
      </w:r>
      <w:r>
        <w:rPr>
          <w:rFonts w:hint="eastAsia" w:ascii="仿宋_GB2312" w:hAnsi="仿宋_GB2312" w:eastAsia="仿宋_GB2312" w:cs="仿宋_GB2312"/>
          <w:color w:val="auto"/>
          <w:sz w:val="32"/>
          <w:szCs w:val="32"/>
          <w:highlight w:val="none"/>
          <w:lang w:val="en-US" w:eastAsia="zh-CN"/>
        </w:rPr>
        <w:t>绩效目标管理，预算动态管理，专款专用，保</w:t>
      </w:r>
      <w:r>
        <w:rPr>
          <w:rFonts w:hint="eastAsia" w:ascii="仿宋_GB2312" w:hAnsi="仿宋_GB2312" w:cs="仿宋_GB2312"/>
          <w:color w:val="auto"/>
          <w:sz w:val="32"/>
          <w:szCs w:val="32"/>
          <w:highlight w:val="none"/>
          <w:lang w:val="en-US" w:eastAsia="zh-CN"/>
        </w:rPr>
        <w:t>障</w:t>
      </w:r>
      <w:r>
        <w:rPr>
          <w:rFonts w:hint="eastAsia" w:ascii="仿宋_GB2312" w:hAnsi="仿宋_GB2312" w:eastAsia="仿宋_GB2312" w:cs="仿宋_GB2312"/>
          <w:color w:val="auto"/>
          <w:sz w:val="32"/>
          <w:szCs w:val="32"/>
          <w:highlight w:val="none"/>
          <w:lang w:val="en-US" w:eastAsia="zh-CN"/>
        </w:rPr>
        <w:t>了重点项目资金，</w:t>
      </w:r>
      <w:r>
        <w:rPr>
          <w:rFonts w:hint="eastAsia" w:ascii="仿宋_GB2312" w:hAnsi="仿宋_GB2312" w:eastAsia="仿宋_GB2312" w:cs="仿宋_GB2312"/>
          <w:color w:val="auto"/>
          <w:sz w:val="32"/>
          <w:szCs w:val="32"/>
          <w:highlight w:val="none"/>
          <w:lang w:val="zh-CN" w:eastAsia="zh-CN"/>
        </w:rPr>
        <w:t>较好地完成了本年度财务工作预期目标，</w:t>
      </w:r>
      <w:r>
        <w:rPr>
          <w:rFonts w:hint="eastAsia" w:ascii="仿宋_GB2312" w:hAnsi="仿宋_GB2312" w:eastAsia="仿宋_GB2312" w:cs="仿宋_GB2312"/>
          <w:color w:val="auto"/>
          <w:sz w:val="32"/>
          <w:szCs w:val="32"/>
          <w:highlight w:val="none"/>
          <w:lang w:val="en-US" w:eastAsia="zh-CN"/>
        </w:rPr>
        <w:t>自评质量全面，可靠。</w:t>
      </w:r>
    </w:p>
    <w:p>
      <w:pPr>
        <w:spacing w:line="600" w:lineRule="exact"/>
        <w:ind w:firstLine="640" w:firstLineChars="200"/>
        <w:outlineLvl w:val="1"/>
        <w:rPr>
          <w:rFonts w:hint="eastAsia" w:ascii="黑体" w:hAnsi="黑体" w:eastAsia="黑体"/>
          <w:color w:val="000000"/>
          <w:sz w:val="32"/>
          <w:szCs w:val="32"/>
          <w:lang w:val="en-US" w:eastAsia="zh-CN"/>
        </w:rPr>
      </w:pPr>
      <w:bookmarkStart w:id="207" w:name="_Toc17971"/>
      <w:bookmarkStart w:id="208" w:name="_Toc16616"/>
      <w:r>
        <w:rPr>
          <w:rFonts w:hint="eastAsia" w:ascii="黑体" w:hAnsi="黑体" w:eastAsia="黑体"/>
          <w:color w:val="000000"/>
          <w:sz w:val="32"/>
          <w:szCs w:val="32"/>
          <w:lang w:val="en-US" w:eastAsia="zh-CN"/>
        </w:rPr>
        <w:t>四、评价结论及建议</w:t>
      </w:r>
      <w:bookmarkEnd w:id="207"/>
      <w:bookmarkEnd w:id="208"/>
    </w:p>
    <w:p>
      <w:pPr>
        <w:keepNext w:val="0"/>
        <w:keepLines w:val="0"/>
        <w:pageBreakBefore w:val="0"/>
        <w:widowControl/>
        <w:numPr>
          <w:ilvl w:val="0"/>
          <w:numId w:val="0"/>
        </w:numPr>
        <w:kinsoku/>
        <w:wordWrap/>
        <w:overflowPunct/>
        <w:topLinePunct w:val="0"/>
        <w:autoSpaceDE w:val="0"/>
        <w:autoSpaceDN/>
        <w:bidi w:val="0"/>
        <w:adjustRightInd w:val="0"/>
        <w:snapToGrid w:val="0"/>
        <w:spacing w:line="560" w:lineRule="exact"/>
        <w:ind w:left="0" w:leftChars="0" w:right="0" w:rightChars="0" w:firstLine="643" w:firstLineChars="200"/>
        <w:contextualSpacing/>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按照预算绩效管理要求，本部门对</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val="zh-CN" w:eastAsia="zh-CN"/>
        </w:rPr>
        <w:t>年整体支出开展绩效自评，</w:t>
      </w:r>
      <w:r>
        <w:rPr>
          <w:rFonts w:hint="eastAsia" w:ascii="仿宋_GB2312" w:hAnsi="仿宋_GB2312" w:eastAsia="仿宋_GB2312" w:cs="仿宋_GB2312"/>
          <w:color w:val="auto"/>
          <w:sz w:val="32"/>
          <w:szCs w:val="32"/>
          <w:highlight w:val="none"/>
          <w:lang w:val="en-US" w:eastAsia="zh-CN"/>
        </w:rPr>
        <w:t>完成确定的目标任务和年度职责，基本达到了相应时间执行进度，使财政收支预算执行都得到了良好的制度保障和实施效果。重点项目绩效评价结果较好，服务对象满意。</w:t>
      </w:r>
      <w:r>
        <w:rPr>
          <w:rFonts w:hint="eastAsia" w:ascii="仿宋_GB2312" w:hAnsi="仿宋_GB2312" w:eastAsia="仿宋_GB2312" w:cs="仿宋_GB2312"/>
          <w:color w:val="auto"/>
          <w:sz w:val="32"/>
          <w:szCs w:val="32"/>
          <w:highlight w:val="none"/>
          <w:lang w:val="zh-CN" w:eastAsia="zh-CN"/>
        </w:rPr>
        <w:t>自评加权得分</w:t>
      </w:r>
      <w:r>
        <w:rPr>
          <w:rFonts w:hint="eastAsia" w:ascii="仿宋_GB2312" w:hAnsi="仿宋_GB2312" w:cs="仿宋_GB2312"/>
          <w:color w:val="auto"/>
          <w:sz w:val="32"/>
          <w:szCs w:val="32"/>
          <w:highlight w:val="none"/>
          <w:lang w:val="en-US" w:eastAsia="zh-CN"/>
        </w:rPr>
        <w:t>97.80</w:t>
      </w:r>
      <w:bookmarkStart w:id="301" w:name="_GoBack"/>
      <w:bookmarkEnd w:id="301"/>
      <w:r>
        <w:rPr>
          <w:rFonts w:hint="eastAsia" w:ascii="仿宋_GB2312" w:hAnsi="仿宋_GB2312" w:eastAsia="仿宋_GB2312" w:cs="仿宋_GB2312"/>
          <w:color w:val="auto"/>
          <w:sz w:val="32"/>
          <w:szCs w:val="32"/>
          <w:highlight w:val="none"/>
          <w:lang w:val="zh-CN" w:eastAsia="zh-CN"/>
        </w:rPr>
        <w:t>分，总体评价为“好”，具体得分情况</w:t>
      </w:r>
      <w:r>
        <w:rPr>
          <w:rFonts w:hint="eastAsia" w:ascii="仿宋_GB2312" w:hAnsi="仿宋_GB2312" w:eastAsia="仿宋_GB2312" w:cs="仿宋_GB2312"/>
          <w:color w:val="auto"/>
          <w:sz w:val="32"/>
          <w:szCs w:val="32"/>
          <w:highlight w:val="none"/>
          <w:lang w:val="en-US" w:eastAsia="zh-CN"/>
        </w:rPr>
        <w:t>见附表1。</w:t>
      </w:r>
      <w:r>
        <w:rPr>
          <w:rFonts w:hint="eastAsia" w:ascii="仿宋_GB2312" w:hAnsi="仿宋_GB2312" w:eastAsia="仿宋_GB2312" w:cs="仿宋_GB2312"/>
          <w:color w:val="auto"/>
          <w:sz w:val="32"/>
          <w:szCs w:val="32"/>
          <w:highlight w:val="none"/>
          <w:lang w:val="zh-CN"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lang w:val="en-US" w:eastAsia="zh-CN"/>
        </w:rPr>
        <w:t>）存在问题。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1.财务制度和内控</w:t>
      </w:r>
      <w:r>
        <w:rPr>
          <w:rFonts w:hint="eastAsia" w:ascii="仿宋_GB2312" w:hAnsi="仿宋_GB2312" w:cs="仿宋_GB2312"/>
          <w:color w:val="auto"/>
          <w:sz w:val="32"/>
          <w:szCs w:val="32"/>
          <w:highlight w:val="none"/>
          <w:lang w:val="en-US" w:eastAsia="zh-CN"/>
        </w:rPr>
        <w:t>制度</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cs="仿宋_GB2312"/>
          <w:color w:val="auto"/>
          <w:sz w:val="32"/>
          <w:szCs w:val="32"/>
          <w:highlight w:val="none"/>
          <w:lang w:val="en-US" w:eastAsia="zh-CN"/>
        </w:rPr>
        <w:t>方面</w:t>
      </w:r>
      <w:r>
        <w:rPr>
          <w:rFonts w:hint="eastAsia" w:ascii="仿宋_GB2312" w:hAnsi="仿宋_GB2312" w:eastAsia="仿宋_GB2312" w:cs="仿宋_GB2312"/>
          <w:color w:val="auto"/>
          <w:sz w:val="32"/>
          <w:szCs w:val="32"/>
          <w:highlight w:val="none"/>
          <w:lang w:val="en-US" w:eastAsia="zh-CN"/>
        </w:rPr>
        <w:t>还存在一些薄弱环节，部门之间的职能职责分工明确度不够，有待改进。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2.从2022年预算执行情况来看，有个别预算</w:t>
      </w:r>
      <w:r>
        <w:rPr>
          <w:rFonts w:hint="eastAsia" w:ascii="仿宋_GB2312" w:hAnsi="仿宋_GB2312" w:cs="仿宋_GB2312"/>
          <w:color w:val="auto"/>
          <w:sz w:val="32"/>
          <w:szCs w:val="32"/>
          <w:highlight w:val="none"/>
          <w:lang w:val="en-US" w:eastAsia="zh-CN"/>
        </w:rPr>
        <w:t>科目、</w:t>
      </w:r>
      <w:r>
        <w:rPr>
          <w:rFonts w:hint="eastAsia" w:ascii="仿宋_GB2312" w:hAnsi="仿宋_GB2312" w:eastAsia="仿宋_GB2312" w:cs="仿宋_GB2312"/>
          <w:color w:val="auto"/>
          <w:sz w:val="32"/>
          <w:szCs w:val="32"/>
          <w:highlight w:val="none"/>
          <w:lang w:val="en-US" w:eastAsia="zh-CN"/>
        </w:rPr>
        <w:t>金额不够准确，需进一步改进。</w:t>
      </w:r>
    </w:p>
    <w:p>
      <w:pPr>
        <w:widowControl/>
        <w:numPr>
          <w:ilvl w:val="0"/>
          <w:numId w:val="0"/>
        </w:numPr>
        <w:autoSpaceDE w:val="0"/>
        <w:adjustRightInd w:val="0"/>
        <w:snapToGrid w:val="0"/>
        <w:spacing w:line="560" w:lineRule="exact"/>
        <w:ind w:firstLine="643" w:firstLineChars="200"/>
        <w:contextualSpacing/>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（三）改进建议。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kern w:val="2"/>
          <w:sz w:val="32"/>
          <w:szCs w:val="32"/>
          <w:lang w:val="en-US" w:eastAsia="zh-CN" w:bidi="ar-SA"/>
        </w:rPr>
      </w:pPr>
      <w:r>
        <w:t xml:space="preserve"> </w:t>
      </w:r>
      <w:r>
        <w:rPr>
          <w:rFonts w:hint="eastAsia" w:ascii="仿宋_GB2312" w:hAnsi="仿宋_GB2312" w:eastAsia="仿宋_GB2312" w:cs="仿宋_GB2312"/>
          <w:color w:val="auto"/>
          <w:sz w:val="32"/>
          <w:szCs w:val="32"/>
          <w:highlight w:val="none"/>
          <w:lang w:val="en-US" w:eastAsia="zh-CN"/>
        </w:rPr>
        <w:t>下一步将继续做好预算与项目执行的综合分析，严格实施项目绩效目标管理，进一步完善绩效管理制度，加强预算绩效动态监控，进一步完善内部控制制度，不断提高预算编制的规范化、科学化和精细化水平，提高财政资金使用效率</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确保项目按期完成，实现预期目标。</w:t>
      </w:r>
    </w:p>
    <w:p>
      <w:pPr>
        <w:pStyle w:val="7"/>
        <w:ind w:firstLine="640" w:firstLineChars="200"/>
        <w:rPr>
          <w:rFonts w:hint="eastAsia" w:ascii="仿宋_GB2312" w:hAnsi="Times New Roman" w:eastAsia="仿宋_GB2312" w:cs="Times New Roman"/>
          <w:color w:val="000000"/>
          <w:kern w:val="2"/>
          <w:sz w:val="32"/>
          <w:szCs w:val="32"/>
          <w:lang w:val="en-US" w:eastAsia="zh-CN" w:bidi="ar-SA"/>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620" w:lineRule="exact"/>
        <w:rPr>
          <w:rFonts w:eastAsia="黑体"/>
          <w:color w:val="000000"/>
        </w:rPr>
      </w:pPr>
      <w:r>
        <w:rPr>
          <w:rFonts w:hint="eastAsia" w:ascii="黑体" w:hAnsi="黑体" w:eastAsia="黑体"/>
          <w:color w:val="000000"/>
          <w:kern w:val="0"/>
        </w:rPr>
        <w:t>附件1</w:t>
      </w:r>
      <w:r>
        <w:rPr>
          <w:rFonts w:hint="eastAsia" w:ascii="仿宋_GB2312"/>
          <w:b/>
          <w:bCs/>
          <w:color w:val="000000"/>
        </w:rPr>
        <w:t xml:space="preserve"> </w:t>
      </w:r>
      <w:r>
        <w:rPr>
          <w:rFonts w:eastAsia="黑体"/>
          <w:color w:val="000000"/>
          <w:sz w:val="24"/>
          <w:szCs w:val="24"/>
        </w:rPr>
        <w:t xml:space="preserve">                          </w:t>
      </w:r>
      <w:r>
        <w:rPr>
          <w:rFonts w:hint="eastAsia" w:ascii="方正小标宋简体" w:eastAsia="方正小标宋简体"/>
          <w:color w:val="000000"/>
          <w:kern w:val="0"/>
        </w:rPr>
        <w:t>市级部门整体支出绩效评价指标体系</w:t>
      </w:r>
    </w:p>
    <w:tbl>
      <w:tblPr>
        <w:tblStyle w:val="17"/>
        <w:tblW w:w="14560" w:type="dxa"/>
        <w:jc w:val="center"/>
        <w:tblInd w:w="0" w:type="dxa"/>
        <w:tblLayout w:type="fixed"/>
        <w:tblCellMar>
          <w:top w:w="0" w:type="dxa"/>
          <w:left w:w="108" w:type="dxa"/>
          <w:bottom w:w="0" w:type="dxa"/>
          <w:right w:w="108" w:type="dxa"/>
        </w:tblCellMar>
      </w:tblPr>
      <w:tblGrid>
        <w:gridCol w:w="704"/>
        <w:gridCol w:w="1276"/>
        <w:gridCol w:w="1984"/>
        <w:gridCol w:w="4237"/>
        <w:gridCol w:w="4691"/>
        <w:gridCol w:w="837"/>
        <w:gridCol w:w="831"/>
      </w:tblGrid>
      <w:tr>
        <w:tblPrEx>
          <w:tblLayout w:type="fixed"/>
          <w:tblCellMar>
            <w:top w:w="0" w:type="dxa"/>
            <w:left w:w="108" w:type="dxa"/>
            <w:bottom w:w="0" w:type="dxa"/>
            <w:right w:w="108" w:type="dxa"/>
          </w:tblCellMar>
        </w:tblPrEx>
        <w:trPr>
          <w:cantSplit/>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一级指标</w:t>
            </w:r>
          </w:p>
        </w:tc>
        <w:tc>
          <w:tcPr>
            <w:tcW w:w="1276" w:type="dxa"/>
            <w:tcBorders>
              <w:top w:val="single" w:color="auto" w:sz="4" w:space="0"/>
              <w:left w:val="nil"/>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二级指标</w:t>
            </w:r>
          </w:p>
        </w:tc>
        <w:tc>
          <w:tcPr>
            <w:tcW w:w="1984" w:type="dxa"/>
            <w:tcBorders>
              <w:top w:val="single" w:color="auto" w:sz="4" w:space="0"/>
              <w:left w:val="nil"/>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三级指标</w:t>
            </w:r>
          </w:p>
        </w:tc>
        <w:tc>
          <w:tcPr>
            <w:tcW w:w="4237" w:type="dxa"/>
            <w:tcBorders>
              <w:top w:val="single" w:color="auto" w:sz="4" w:space="0"/>
              <w:left w:val="nil"/>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指标解释</w:t>
            </w:r>
          </w:p>
        </w:tc>
        <w:tc>
          <w:tcPr>
            <w:tcW w:w="4691" w:type="dxa"/>
            <w:tcBorders>
              <w:top w:val="single" w:color="auto" w:sz="4" w:space="0"/>
              <w:left w:val="nil"/>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计分标准（备注）</w:t>
            </w:r>
          </w:p>
        </w:tc>
        <w:tc>
          <w:tcPr>
            <w:tcW w:w="837" w:type="dxa"/>
            <w:tcBorders>
              <w:top w:val="single" w:color="auto" w:sz="4" w:space="0"/>
              <w:left w:val="nil"/>
              <w:bottom w:val="single" w:color="auto" w:sz="4" w:space="0"/>
              <w:right w:val="single" w:color="auto" w:sz="4" w:space="0"/>
            </w:tcBorders>
          </w:tcPr>
          <w:p>
            <w:pPr>
              <w:spacing w:line="200" w:lineRule="exact"/>
              <w:jc w:val="center"/>
              <w:rPr>
                <w:rFonts w:eastAsia="宋体"/>
                <w:b/>
                <w:bCs/>
                <w:color w:val="000000"/>
                <w:kern w:val="0"/>
                <w:sz w:val="20"/>
                <w:szCs w:val="20"/>
              </w:rPr>
            </w:pPr>
            <w:r>
              <w:rPr>
                <w:rFonts w:hint="eastAsia" w:eastAsia="宋体"/>
                <w:b/>
                <w:bCs/>
                <w:color w:val="000000"/>
                <w:kern w:val="0"/>
                <w:sz w:val="20"/>
                <w:szCs w:val="20"/>
              </w:rPr>
              <w:t>自评</w:t>
            </w:r>
          </w:p>
          <w:p>
            <w:pPr>
              <w:spacing w:line="200" w:lineRule="exact"/>
              <w:jc w:val="center"/>
              <w:rPr>
                <w:rFonts w:eastAsia="宋体"/>
                <w:b/>
                <w:bCs/>
                <w:color w:val="000000"/>
                <w:kern w:val="0"/>
                <w:sz w:val="20"/>
                <w:szCs w:val="20"/>
              </w:rPr>
            </w:pPr>
            <w:r>
              <w:rPr>
                <w:rFonts w:hint="eastAsia" w:eastAsia="宋体"/>
                <w:b/>
                <w:bCs/>
                <w:color w:val="000000"/>
                <w:kern w:val="0"/>
                <w:sz w:val="20"/>
                <w:szCs w:val="20"/>
              </w:rPr>
              <w:t>得分</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b/>
                <w:bCs/>
                <w:color w:val="000000"/>
                <w:kern w:val="0"/>
                <w:sz w:val="20"/>
                <w:szCs w:val="20"/>
              </w:rPr>
            </w:pPr>
            <w:r>
              <w:rPr>
                <w:rFonts w:hint="eastAsia" w:eastAsia="宋体"/>
                <w:b/>
                <w:bCs/>
                <w:color w:val="000000"/>
                <w:kern w:val="0"/>
                <w:sz w:val="20"/>
                <w:szCs w:val="20"/>
              </w:rPr>
              <w:t>财政复评得分</w:t>
            </w:r>
          </w:p>
        </w:tc>
      </w:tr>
      <w:tr>
        <w:tblPrEx>
          <w:tblLayout w:type="fixed"/>
          <w:tblCellMar>
            <w:top w:w="0" w:type="dxa"/>
            <w:left w:w="108" w:type="dxa"/>
            <w:bottom w:w="0" w:type="dxa"/>
            <w:right w:w="108" w:type="dxa"/>
          </w:tblCellMar>
        </w:tblPrEx>
        <w:trPr>
          <w:cantSplit/>
          <w:trHeight w:val="20" w:hRule="atLeast"/>
          <w:jc w:val="center"/>
        </w:trPr>
        <w:tc>
          <w:tcPr>
            <w:tcW w:w="704" w:type="dxa"/>
            <w:vMerge w:val="restart"/>
            <w:tcBorders>
              <w:top w:val="nil"/>
              <w:left w:val="single" w:color="auto" w:sz="4" w:space="0"/>
              <w:bottom w:val="single" w:color="000000" w:sz="4" w:space="0"/>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预算编制</w:t>
            </w:r>
          </w:p>
          <w:p>
            <w:pPr>
              <w:spacing w:line="200" w:lineRule="exact"/>
              <w:jc w:val="center"/>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10</w:t>
            </w:r>
            <w:r>
              <w:rPr>
                <w:rFonts w:hint="eastAsia" w:eastAsia="宋体"/>
                <w:color w:val="000000"/>
                <w:kern w:val="0"/>
                <w:sz w:val="15"/>
                <w:szCs w:val="15"/>
              </w:rPr>
              <w:t>分）</w:t>
            </w:r>
          </w:p>
        </w:tc>
        <w:tc>
          <w:tcPr>
            <w:tcW w:w="1276"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报送时效（</w:t>
            </w:r>
            <w:r>
              <w:rPr>
                <w:rFonts w:eastAsia="宋体"/>
                <w:color w:val="000000"/>
                <w:kern w:val="0"/>
                <w:sz w:val="15"/>
                <w:szCs w:val="15"/>
              </w:rPr>
              <w:t>1</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基础信息更新（</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部门是否按照市级部门预算编制通知和有关要求，按时完成基础库、项目库报送工作</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超过规定</w:t>
            </w:r>
            <w:r>
              <w:rPr>
                <w:rFonts w:eastAsia="宋体"/>
                <w:color w:val="000000"/>
                <w:kern w:val="0"/>
                <w:sz w:val="15"/>
                <w:szCs w:val="15"/>
              </w:rPr>
              <w:t>5</w:t>
            </w:r>
            <w:r>
              <w:rPr>
                <w:rFonts w:hint="eastAsia" w:eastAsia="宋体"/>
                <w:color w:val="000000"/>
                <w:kern w:val="0"/>
                <w:sz w:val="15"/>
                <w:szCs w:val="15"/>
              </w:rPr>
              <w:t>个工作日扣</w:t>
            </w:r>
            <w:r>
              <w:rPr>
                <w:rFonts w:eastAsia="宋体"/>
                <w:color w:val="000000"/>
                <w:kern w:val="0"/>
                <w:sz w:val="15"/>
                <w:szCs w:val="15"/>
              </w:rPr>
              <w:t>0.5</w:t>
            </w:r>
            <w:r>
              <w:rPr>
                <w:rFonts w:hint="eastAsia" w:eastAsia="宋体"/>
                <w:color w:val="000000"/>
                <w:kern w:val="0"/>
                <w:sz w:val="15"/>
                <w:szCs w:val="15"/>
              </w:rPr>
              <w:t>分，</w:t>
            </w:r>
            <w:r>
              <w:rPr>
                <w:rFonts w:eastAsia="宋体"/>
                <w:color w:val="000000"/>
                <w:kern w:val="0"/>
                <w:sz w:val="15"/>
                <w:szCs w:val="15"/>
              </w:rPr>
              <w:t>10</w:t>
            </w:r>
            <w:r>
              <w:rPr>
                <w:rFonts w:hint="eastAsia" w:eastAsia="宋体"/>
                <w:color w:val="000000"/>
                <w:kern w:val="0"/>
                <w:sz w:val="15"/>
                <w:szCs w:val="15"/>
              </w:rPr>
              <w:t>个工作日扣</w:t>
            </w:r>
            <w:r>
              <w:rPr>
                <w:rFonts w:eastAsia="宋体"/>
                <w:color w:val="000000"/>
                <w:kern w:val="0"/>
                <w:sz w:val="15"/>
                <w:szCs w:val="15"/>
              </w:rPr>
              <w:t>1</w:t>
            </w:r>
            <w:r>
              <w:rPr>
                <w:rFonts w:hint="eastAsia" w:eastAsia="宋体"/>
                <w:color w:val="000000"/>
                <w:kern w:val="0"/>
                <w:sz w:val="15"/>
                <w:szCs w:val="15"/>
              </w:rPr>
              <w:t>分，以此类推，直至扣完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编制质量（</w:t>
            </w:r>
            <w:r>
              <w:rPr>
                <w:rFonts w:eastAsia="宋体"/>
                <w:color w:val="000000"/>
                <w:kern w:val="0"/>
                <w:sz w:val="15"/>
                <w:szCs w:val="15"/>
              </w:rPr>
              <w:t>2</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预算编制准确（</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（预算资金总来源～中期评估调整取消资金～预算结余注销资金）</w:t>
            </w:r>
            <w:r>
              <w:rPr>
                <w:rFonts w:eastAsia="宋体"/>
                <w:color w:val="000000"/>
                <w:kern w:val="0"/>
                <w:sz w:val="15"/>
                <w:szCs w:val="15"/>
              </w:rPr>
              <w:t>÷</w:t>
            </w:r>
            <w:r>
              <w:rPr>
                <w:rFonts w:hint="eastAsia" w:eastAsia="宋体"/>
                <w:color w:val="000000"/>
                <w:kern w:val="0"/>
                <w:sz w:val="15"/>
                <w:szCs w:val="15"/>
              </w:rPr>
              <w:t>预算资金总来源</w:t>
            </w:r>
            <w:r>
              <w:rPr>
                <w:rFonts w:eastAsia="宋体"/>
                <w:color w:val="000000"/>
                <w:kern w:val="0"/>
                <w:sz w:val="15"/>
                <w:szCs w:val="15"/>
              </w:rPr>
              <w:t>*</w:t>
            </w:r>
            <w:r>
              <w:rPr>
                <w:rFonts w:hint="eastAsia" w:eastAsia="宋体"/>
                <w:color w:val="000000"/>
                <w:kern w:val="0"/>
                <w:sz w:val="15"/>
                <w:szCs w:val="15"/>
              </w:rPr>
              <w:t>指标分值</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其中：预算资金总来源是指市级年初预算与执行中追加预算（不含当年中央专款）总和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部门预算审查（</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根据市人大预工委对预算草案审查结果进行考核</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对预工委审查后提出并确需修改的问题，每个问题扣</w:t>
            </w:r>
            <w:r>
              <w:rPr>
                <w:rFonts w:eastAsia="宋体"/>
                <w:color w:val="000000"/>
                <w:kern w:val="0"/>
                <w:sz w:val="15"/>
                <w:szCs w:val="15"/>
              </w:rPr>
              <w:t>0.02</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绩效目标（</w:t>
            </w:r>
            <w:r>
              <w:rPr>
                <w:rFonts w:eastAsia="宋体"/>
                <w:color w:val="000000"/>
                <w:kern w:val="0"/>
                <w:sz w:val="15"/>
                <w:szCs w:val="15"/>
              </w:rPr>
              <w:t>5</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部门整体绩效目标（</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部门整体绩效目标编制完整、合理</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部门整体绩效目标能完整、合理反映部门年度职责履行情况的得分，否则不得分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重点项目绩效目标（</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项目绩效目标编制明确、量化</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项目支出绩效目标编制不明确和量化的发现一个扣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9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转移支付提前下达（1</w:t>
            </w:r>
            <w:r>
              <w:rPr>
                <w:rFonts w:hint="eastAsia" w:ascii="宋体" w:hAnsi="宋体"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转移支付提前下达（</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按规定提前下达转移支付</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未按规定提前下达转移支付的，按比例进行扣分。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1</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专项转移支付分地区分项目编制（1</w:t>
            </w:r>
            <w:r>
              <w:rPr>
                <w:rFonts w:hint="eastAsia" w:ascii="宋体" w:hAnsi="宋体"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专项转移支付分地区分项目编制（</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按规定分地区分项目编制专项转移支付</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未按规定编制的，按比例进行扣分。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不涉及</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restart"/>
            <w:tcBorders>
              <w:top w:val="nil"/>
              <w:left w:val="single" w:color="auto" w:sz="4" w:space="0"/>
              <w:bottom w:val="single" w:color="auto" w:sz="4" w:space="0"/>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预算执行</w:t>
            </w:r>
          </w:p>
          <w:p>
            <w:pPr>
              <w:spacing w:line="200" w:lineRule="exact"/>
              <w:jc w:val="center"/>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20</w:t>
            </w:r>
            <w:r>
              <w:rPr>
                <w:rFonts w:hint="eastAsia" w:eastAsia="宋体"/>
                <w:color w:val="000000"/>
                <w:kern w:val="0"/>
                <w:sz w:val="15"/>
                <w:szCs w:val="15"/>
              </w:rPr>
              <w:t>分）</w:t>
            </w: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执行进度（</w:t>
            </w:r>
            <w:r>
              <w:rPr>
                <w:rFonts w:eastAsia="宋体"/>
                <w:color w:val="000000"/>
                <w:kern w:val="0"/>
                <w:sz w:val="15"/>
                <w:szCs w:val="15"/>
              </w:rPr>
              <w:t>10</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市级财力专项预算分配时限（</w:t>
            </w:r>
            <w:r>
              <w:rPr>
                <w:rFonts w:eastAsia="宋体"/>
                <w:color w:val="000000"/>
                <w:kern w:val="0"/>
                <w:sz w:val="15"/>
                <w:szCs w:val="15"/>
              </w:rPr>
              <w:t>4</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按规定及时分配市级财力专项预算</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按《预算法》规定时限完成分配的考核得分，否则不得分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不涉及</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中央专款分配合规率（</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按《预算法》规定在一个月内分配中央专款</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1</w:t>
            </w:r>
            <w:r>
              <w:rPr>
                <w:rFonts w:hint="eastAsia" w:eastAsia="宋体"/>
                <w:color w:val="000000"/>
                <w:kern w:val="0"/>
                <w:sz w:val="15"/>
                <w:szCs w:val="15"/>
              </w:rPr>
              <w:t>～未按规定时间在</w:t>
            </w:r>
            <w:r>
              <w:rPr>
                <w:rFonts w:eastAsia="宋体"/>
                <w:color w:val="000000"/>
                <w:kern w:val="0"/>
                <w:sz w:val="15"/>
                <w:szCs w:val="15"/>
              </w:rPr>
              <w:t>1</w:t>
            </w:r>
            <w:r>
              <w:rPr>
                <w:rFonts w:hint="eastAsia" w:eastAsia="宋体"/>
                <w:color w:val="000000"/>
                <w:kern w:val="0"/>
                <w:sz w:val="15"/>
                <w:szCs w:val="15"/>
              </w:rPr>
              <w:t>个月内分配的中央专款规模</w:t>
            </w:r>
            <w:r>
              <w:rPr>
                <w:rFonts w:eastAsia="宋体"/>
                <w:color w:val="000000"/>
                <w:kern w:val="0"/>
                <w:sz w:val="15"/>
                <w:szCs w:val="15"/>
              </w:rPr>
              <w:t>÷</w:t>
            </w:r>
            <w:r>
              <w:rPr>
                <w:rFonts w:hint="eastAsia" w:eastAsia="宋体"/>
                <w:color w:val="000000"/>
                <w:kern w:val="0"/>
                <w:sz w:val="15"/>
                <w:szCs w:val="15"/>
              </w:rPr>
              <w:t>中央专款总规模）</w:t>
            </w:r>
            <w:r>
              <w:rPr>
                <w:rFonts w:eastAsia="宋体"/>
                <w:color w:val="000000"/>
                <w:kern w:val="0"/>
                <w:sz w:val="15"/>
                <w:szCs w:val="15"/>
              </w:rPr>
              <w:t>*</w:t>
            </w:r>
            <w:r>
              <w:rPr>
                <w:rFonts w:hint="eastAsia" w:eastAsia="宋体"/>
                <w:color w:val="000000"/>
                <w:kern w:val="0"/>
                <w:sz w:val="15"/>
                <w:szCs w:val="15"/>
              </w:rPr>
              <w:t>指标分值</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部门预算执行进度（</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部门按要求严格预算执行管理</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部门预算实际列支数</w:t>
            </w:r>
            <w:r>
              <w:rPr>
                <w:rFonts w:eastAsia="宋体"/>
                <w:color w:val="000000"/>
                <w:kern w:val="0"/>
                <w:sz w:val="15"/>
                <w:szCs w:val="15"/>
              </w:rPr>
              <w:t>÷</w:t>
            </w:r>
            <w:r>
              <w:rPr>
                <w:rFonts w:hint="eastAsia" w:eastAsia="宋体"/>
                <w:color w:val="000000"/>
                <w:kern w:val="0"/>
                <w:sz w:val="15"/>
                <w:szCs w:val="15"/>
              </w:rPr>
              <w:t>部门预算总额</w:t>
            </w:r>
            <w:r>
              <w:rPr>
                <w:rFonts w:eastAsia="宋体"/>
                <w:color w:val="000000"/>
                <w:kern w:val="0"/>
                <w:sz w:val="15"/>
                <w:szCs w:val="15"/>
              </w:rPr>
              <w:t>*</w:t>
            </w:r>
            <w:r>
              <w:rPr>
                <w:rFonts w:hint="eastAsia" w:eastAsia="宋体"/>
                <w:color w:val="000000"/>
                <w:kern w:val="0"/>
                <w:sz w:val="15"/>
                <w:szCs w:val="15"/>
              </w:rPr>
              <w:t>指标分值</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预算调整（</w:t>
            </w:r>
            <w:r>
              <w:rPr>
                <w:rFonts w:eastAsia="宋体"/>
                <w:color w:val="000000"/>
                <w:kern w:val="0"/>
                <w:sz w:val="15"/>
                <w:szCs w:val="15"/>
              </w:rPr>
              <w:t>4</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执行中期评估（</w:t>
            </w:r>
            <w:r>
              <w:rPr>
                <w:rFonts w:eastAsia="宋体"/>
                <w:color w:val="000000"/>
                <w:kern w:val="0"/>
                <w:sz w:val="15"/>
                <w:szCs w:val="15"/>
              </w:rPr>
              <w:t>4</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部门中期评估调整取消资金</w:t>
            </w:r>
            <w:r>
              <w:rPr>
                <w:rFonts w:eastAsia="宋体"/>
                <w:color w:val="000000"/>
                <w:kern w:val="0"/>
                <w:sz w:val="15"/>
                <w:szCs w:val="15"/>
              </w:rPr>
              <w:t>÷(</w:t>
            </w:r>
            <w:r>
              <w:rPr>
                <w:rFonts w:hint="eastAsia" w:eastAsia="宋体"/>
                <w:color w:val="000000"/>
                <w:kern w:val="0"/>
                <w:sz w:val="15"/>
                <w:szCs w:val="15"/>
              </w:rPr>
              <w:t>中期评估调整取消资金</w:t>
            </w:r>
            <w:r>
              <w:rPr>
                <w:rFonts w:eastAsia="宋体"/>
                <w:color w:val="000000"/>
                <w:kern w:val="0"/>
                <w:sz w:val="15"/>
                <w:szCs w:val="15"/>
              </w:rPr>
              <w:t>+</w:t>
            </w:r>
            <w:r>
              <w:rPr>
                <w:rFonts w:hint="eastAsia" w:eastAsia="宋体"/>
                <w:color w:val="000000"/>
                <w:kern w:val="0"/>
                <w:sz w:val="15"/>
                <w:szCs w:val="15"/>
              </w:rPr>
              <w:t>预算结余注销资金）</w:t>
            </w:r>
            <w:r>
              <w:rPr>
                <w:rFonts w:eastAsia="宋体"/>
                <w:color w:val="000000"/>
                <w:kern w:val="0"/>
                <w:sz w:val="15"/>
                <w:szCs w:val="15"/>
              </w:rPr>
              <w:t>*</w:t>
            </w:r>
            <w:r>
              <w:rPr>
                <w:rFonts w:hint="eastAsia" w:eastAsia="宋体"/>
                <w:color w:val="000000"/>
                <w:kern w:val="0"/>
                <w:sz w:val="15"/>
                <w:szCs w:val="15"/>
              </w:rPr>
              <w:t>指标分值</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当中期评估调整取消资金与结余注销资金之和为零时，得满分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4</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行政成本（</w:t>
            </w:r>
            <w:r>
              <w:rPr>
                <w:rFonts w:eastAsia="宋体"/>
                <w:color w:val="000000"/>
                <w:kern w:val="0"/>
                <w:sz w:val="15"/>
                <w:szCs w:val="15"/>
              </w:rPr>
              <w:t>6</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节能降耗（</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严格执行节能降耗</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根据机关事务管理局节能考核换算得分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三公经费（</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严格执行</w:t>
            </w:r>
            <w:r>
              <w:rPr>
                <w:rFonts w:eastAsia="宋体"/>
                <w:color w:val="000000"/>
                <w:kern w:val="0"/>
                <w:sz w:val="15"/>
                <w:szCs w:val="15"/>
              </w:rPr>
              <w:t>“</w:t>
            </w:r>
            <w:r>
              <w:rPr>
                <w:rFonts w:hint="eastAsia" w:eastAsia="宋体"/>
                <w:color w:val="000000"/>
                <w:kern w:val="0"/>
                <w:sz w:val="15"/>
                <w:szCs w:val="15"/>
              </w:rPr>
              <w:t>三公经费</w:t>
            </w:r>
            <w:r>
              <w:rPr>
                <w:rFonts w:eastAsia="宋体"/>
                <w:color w:val="000000"/>
                <w:kern w:val="0"/>
                <w:sz w:val="15"/>
                <w:szCs w:val="15"/>
              </w:rPr>
              <w:t>”</w:t>
            </w:r>
            <w:r>
              <w:rPr>
                <w:rFonts w:hint="eastAsia" w:eastAsia="宋体"/>
                <w:color w:val="000000"/>
                <w:kern w:val="0"/>
                <w:sz w:val="15"/>
                <w:szCs w:val="15"/>
              </w:rPr>
              <w:t>预算</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w:t>
            </w:r>
            <w:r>
              <w:rPr>
                <w:rFonts w:eastAsia="宋体"/>
                <w:color w:val="000000"/>
                <w:kern w:val="0"/>
                <w:sz w:val="15"/>
                <w:szCs w:val="15"/>
              </w:rPr>
              <w:t>“</w:t>
            </w:r>
            <w:r>
              <w:rPr>
                <w:rFonts w:hint="eastAsia" w:eastAsia="宋体"/>
                <w:color w:val="000000"/>
                <w:kern w:val="0"/>
                <w:sz w:val="15"/>
                <w:szCs w:val="15"/>
              </w:rPr>
              <w:t>三公</w:t>
            </w:r>
            <w:r>
              <w:rPr>
                <w:rFonts w:eastAsia="宋体"/>
                <w:color w:val="000000"/>
                <w:kern w:val="0"/>
                <w:sz w:val="15"/>
                <w:szCs w:val="15"/>
              </w:rPr>
              <w:t>”</w:t>
            </w:r>
            <w:r>
              <w:rPr>
                <w:rFonts w:hint="eastAsia" w:eastAsia="宋体"/>
                <w:color w:val="000000"/>
                <w:kern w:val="0"/>
                <w:sz w:val="15"/>
                <w:szCs w:val="15"/>
              </w:rPr>
              <w:t>经费决算数一项超预算扣</w:t>
            </w:r>
            <w:r>
              <w:rPr>
                <w:rFonts w:eastAsia="宋体"/>
                <w:color w:val="000000"/>
                <w:kern w:val="0"/>
                <w:sz w:val="15"/>
                <w:szCs w:val="15"/>
              </w:rPr>
              <w:t>1</w:t>
            </w:r>
            <w:r>
              <w:rPr>
                <w:rFonts w:hint="eastAsia" w:eastAsia="宋体"/>
                <w:color w:val="000000"/>
                <w:kern w:val="0"/>
                <w:sz w:val="15"/>
                <w:szCs w:val="15"/>
              </w:rPr>
              <w:t>分，两项超预算扣</w:t>
            </w:r>
            <w:r>
              <w:rPr>
                <w:rFonts w:eastAsia="宋体"/>
                <w:color w:val="000000"/>
                <w:kern w:val="0"/>
                <w:sz w:val="15"/>
                <w:szCs w:val="15"/>
              </w:rPr>
              <w:t>2</w:t>
            </w:r>
            <w:r>
              <w:rPr>
                <w:rFonts w:hint="eastAsia" w:eastAsia="宋体"/>
                <w:color w:val="000000"/>
                <w:kern w:val="0"/>
                <w:sz w:val="15"/>
                <w:szCs w:val="15"/>
              </w:rPr>
              <w:t>分，以此类推，直至扣完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restart"/>
            <w:tcBorders>
              <w:top w:val="nil"/>
              <w:left w:val="single" w:color="auto" w:sz="4" w:space="0"/>
              <w:bottom w:val="single" w:color="000000" w:sz="4" w:space="0"/>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综合管理</w:t>
            </w:r>
          </w:p>
          <w:p>
            <w:pPr>
              <w:spacing w:line="200" w:lineRule="exact"/>
              <w:jc w:val="center"/>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40</w:t>
            </w:r>
            <w:r>
              <w:rPr>
                <w:rFonts w:hint="eastAsia" w:eastAsia="宋体"/>
                <w:color w:val="000000"/>
                <w:kern w:val="0"/>
                <w:sz w:val="15"/>
                <w:szCs w:val="15"/>
              </w:rPr>
              <w:t>分）</w:t>
            </w:r>
          </w:p>
        </w:tc>
        <w:tc>
          <w:tcPr>
            <w:tcW w:w="1276"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债务管理（</w:t>
            </w:r>
            <w:r>
              <w:rPr>
                <w:rFonts w:eastAsia="宋体"/>
                <w:color w:val="000000"/>
                <w:kern w:val="0"/>
                <w:sz w:val="15"/>
                <w:szCs w:val="15"/>
              </w:rPr>
              <w:t>2</w:t>
            </w:r>
            <w:r>
              <w:rPr>
                <w:rFonts w:hint="eastAsia" w:eastAsia="宋体"/>
                <w:color w:val="000000"/>
                <w:kern w:val="0"/>
                <w:sz w:val="15"/>
                <w:szCs w:val="15"/>
              </w:rPr>
              <w:t>分）</w:t>
            </w: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债务还本付息（</w:t>
            </w:r>
            <w:r>
              <w:rPr>
                <w:rFonts w:eastAsia="宋体"/>
                <w:color w:val="000000"/>
                <w:kern w:val="0"/>
                <w:sz w:val="15"/>
                <w:szCs w:val="15"/>
              </w:rPr>
              <w:t>2</w:t>
            </w:r>
            <w:r>
              <w:rPr>
                <w:rFonts w:hint="eastAsia" w:eastAsia="宋体"/>
                <w:color w:val="000000"/>
                <w:kern w:val="0"/>
                <w:sz w:val="15"/>
                <w:szCs w:val="15"/>
              </w:rPr>
              <w:t>）</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按规定做好政府性债务还本付息工作</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实际还本付息金额</w:t>
            </w:r>
            <w:r>
              <w:rPr>
                <w:rFonts w:eastAsia="宋体"/>
                <w:color w:val="000000"/>
                <w:kern w:val="0"/>
                <w:sz w:val="15"/>
                <w:szCs w:val="15"/>
              </w:rPr>
              <w:t>÷</w:t>
            </w:r>
            <w:r>
              <w:rPr>
                <w:rFonts w:hint="eastAsia" w:eastAsia="宋体"/>
                <w:color w:val="000000"/>
                <w:kern w:val="0"/>
                <w:sz w:val="15"/>
                <w:szCs w:val="15"/>
              </w:rPr>
              <w:t>应付金额</w:t>
            </w:r>
            <w:r>
              <w:rPr>
                <w:rFonts w:eastAsia="宋体"/>
                <w:color w:val="000000"/>
                <w:kern w:val="0"/>
                <w:sz w:val="15"/>
                <w:szCs w:val="15"/>
              </w:rPr>
              <w:t>×</w:t>
            </w:r>
            <w:r>
              <w:rPr>
                <w:rFonts w:hint="eastAsia" w:eastAsia="宋体"/>
                <w:color w:val="000000"/>
                <w:kern w:val="0"/>
                <w:sz w:val="15"/>
                <w:szCs w:val="15"/>
              </w:rPr>
              <w:t>指标分值</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不涉及</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非税收入执收情况（</w:t>
            </w:r>
            <w:r>
              <w:rPr>
                <w:rFonts w:eastAsia="宋体"/>
                <w:color w:val="000000"/>
                <w:kern w:val="0"/>
                <w:sz w:val="15"/>
                <w:szCs w:val="15"/>
              </w:rPr>
              <w:t>4</w:t>
            </w:r>
            <w:r>
              <w:rPr>
                <w:rFonts w:hint="eastAsia" w:eastAsia="宋体"/>
                <w:color w:val="000000"/>
                <w:kern w:val="0"/>
                <w:sz w:val="15"/>
                <w:szCs w:val="15"/>
              </w:rPr>
              <w:t>分）</w:t>
            </w: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非税收入征收情况（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是否按照规定的项目、标准、征收方式执收非税收入，非税收入项目设立的权限和缓减免的依据，对非税收入进行缓减免</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发现有未按规定的非税收入项目、标准执收非税收入或有违反规定缓减免非税收入的，发现一次扣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不涉及</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非税收入上缴情况（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是否及时足额将非税收入缴入财政</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发现未及时足额将非税收入缴入财政的或者截留、挪用非税收入的，发现一次扣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政府采购实施计划（</w:t>
            </w:r>
            <w:r>
              <w:rPr>
                <w:rFonts w:eastAsia="宋体"/>
                <w:color w:val="000000"/>
                <w:kern w:val="0"/>
                <w:sz w:val="15"/>
                <w:szCs w:val="15"/>
              </w:rPr>
              <w:t>4</w:t>
            </w:r>
            <w:r>
              <w:rPr>
                <w:rFonts w:hint="eastAsia" w:eastAsia="宋体"/>
                <w:color w:val="000000"/>
                <w:kern w:val="0"/>
                <w:sz w:val="15"/>
                <w:szCs w:val="15"/>
              </w:rPr>
              <w:t>分）</w:t>
            </w: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政府采购实施计划编制（</w:t>
            </w:r>
            <w:r>
              <w:rPr>
                <w:rFonts w:eastAsia="宋体"/>
                <w:color w:val="000000"/>
                <w:kern w:val="0"/>
                <w:sz w:val="15"/>
                <w:szCs w:val="15"/>
              </w:rPr>
              <w:t>2</w:t>
            </w:r>
            <w:r>
              <w:rPr>
                <w:rFonts w:hint="eastAsia" w:eastAsia="宋体"/>
                <w:color w:val="000000"/>
                <w:kern w:val="0"/>
                <w:sz w:val="15"/>
                <w:szCs w:val="15"/>
              </w:rPr>
              <w:t>）</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实施计划与政府采购预算的一致性</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1</w:t>
            </w:r>
            <w:r>
              <w:rPr>
                <w:rFonts w:hint="eastAsia" w:eastAsia="宋体"/>
                <w:color w:val="000000"/>
                <w:kern w:val="0"/>
                <w:sz w:val="15"/>
                <w:szCs w:val="15"/>
              </w:rPr>
              <w:t>～调整或细化资金</w:t>
            </w:r>
            <w:r>
              <w:rPr>
                <w:rFonts w:eastAsia="宋体"/>
                <w:color w:val="000000"/>
                <w:kern w:val="0"/>
                <w:sz w:val="15"/>
                <w:szCs w:val="15"/>
              </w:rPr>
              <w:t>/</w:t>
            </w:r>
            <w:r>
              <w:rPr>
                <w:rFonts w:hint="eastAsia" w:eastAsia="宋体"/>
                <w:color w:val="000000"/>
                <w:kern w:val="0"/>
                <w:sz w:val="15"/>
                <w:szCs w:val="15"/>
              </w:rPr>
              <w:t>政府采购预算资金）</w:t>
            </w:r>
            <w:r>
              <w:rPr>
                <w:rFonts w:eastAsia="宋体"/>
                <w:color w:val="000000"/>
                <w:kern w:val="0"/>
                <w:sz w:val="15"/>
                <w:szCs w:val="15"/>
              </w:rPr>
              <w:t>*</w:t>
            </w:r>
            <w:r>
              <w:rPr>
                <w:rFonts w:hint="eastAsia" w:eastAsia="宋体"/>
                <w:color w:val="000000"/>
                <w:kern w:val="0"/>
                <w:sz w:val="15"/>
                <w:szCs w:val="15"/>
              </w:rPr>
              <w:t>分值</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政府采购实施计划的执行（</w:t>
            </w:r>
            <w:r>
              <w:rPr>
                <w:rFonts w:eastAsia="宋体"/>
                <w:color w:val="000000"/>
                <w:kern w:val="0"/>
                <w:sz w:val="15"/>
                <w:szCs w:val="15"/>
              </w:rPr>
              <w:t>2</w:t>
            </w:r>
            <w:r>
              <w:rPr>
                <w:rFonts w:hint="eastAsia" w:eastAsia="宋体"/>
                <w:color w:val="000000"/>
                <w:kern w:val="0"/>
                <w:sz w:val="15"/>
                <w:szCs w:val="15"/>
              </w:rPr>
              <w:t>）</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执行的实施计划与备案的实施计划的一致性</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1</w:t>
            </w:r>
            <w:r>
              <w:rPr>
                <w:rFonts w:hint="eastAsia" w:eastAsia="宋体"/>
                <w:color w:val="000000"/>
                <w:kern w:val="0"/>
                <w:sz w:val="15"/>
                <w:szCs w:val="15"/>
              </w:rPr>
              <w:t>～实施计划备案后的调整或细化资金</w:t>
            </w:r>
            <w:r>
              <w:rPr>
                <w:rFonts w:eastAsia="宋体"/>
                <w:color w:val="000000"/>
                <w:kern w:val="0"/>
                <w:sz w:val="15"/>
                <w:szCs w:val="15"/>
              </w:rPr>
              <w:t>/</w:t>
            </w:r>
            <w:r>
              <w:rPr>
                <w:rFonts w:hint="eastAsia" w:eastAsia="宋体"/>
                <w:color w:val="000000"/>
                <w:kern w:val="0"/>
                <w:sz w:val="15"/>
                <w:szCs w:val="15"/>
              </w:rPr>
              <w:t>实施计划备案后的资金）</w:t>
            </w:r>
            <w:r>
              <w:rPr>
                <w:rFonts w:eastAsia="宋体"/>
                <w:color w:val="000000"/>
                <w:kern w:val="0"/>
                <w:sz w:val="15"/>
                <w:szCs w:val="15"/>
              </w:rPr>
              <w:t>*</w:t>
            </w:r>
            <w:r>
              <w:rPr>
                <w:rFonts w:hint="eastAsia" w:eastAsia="宋体"/>
                <w:color w:val="000000"/>
                <w:kern w:val="0"/>
                <w:sz w:val="15"/>
                <w:szCs w:val="15"/>
              </w:rPr>
              <w:t>分值</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9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资产管理（</w:t>
            </w:r>
            <w:r>
              <w:rPr>
                <w:rFonts w:eastAsia="宋体"/>
                <w:color w:val="000000"/>
                <w:kern w:val="0"/>
                <w:sz w:val="15"/>
                <w:szCs w:val="15"/>
              </w:rPr>
              <w:t>6</w:t>
            </w:r>
            <w:r>
              <w:rPr>
                <w:rFonts w:hint="eastAsia" w:eastAsia="宋体"/>
                <w:color w:val="000000"/>
                <w:kern w:val="0"/>
                <w:sz w:val="15"/>
                <w:szCs w:val="15"/>
              </w:rPr>
              <w:t>分）</w:t>
            </w: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资产管理信息系统建设情况（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single" w:color="auto" w:sz="4" w:space="0"/>
              <w:left w:val="nil"/>
              <w:bottom w:val="single" w:color="auto" w:sz="4" w:space="0"/>
              <w:right w:val="nil"/>
            </w:tcBorders>
            <w:vAlign w:val="center"/>
          </w:tcPr>
          <w:p>
            <w:pPr>
              <w:spacing w:line="200" w:lineRule="exact"/>
              <w:rPr>
                <w:rFonts w:eastAsia="宋体"/>
                <w:color w:val="000000"/>
                <w:kern w:val="0"/>
                <w:sz w:val="15"/>
                <w:szCs w:val="15"/>
              </w:rPr>
            </w:pPr>
            <w:r>
              <w:rPr>
                <w:rFonts w:hint="eastAsia" w:eastAsia="宋体"/>
                <w:color w:val="000000"/>
                <w:kern w:val="0"/>
                <w:sz w:val="15"/>
                <w:szCs w:val="15"/>
              </w:rPr>
              <w:t>考核部门和单位将国有资产纳入资产信息系统管理情况</w:t>
            </w:r>
          </w:p>
        </w:tc>
        <w:tc>
          <w:tcPr>
            <w:tcW w:w="4691"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ascii="宋体" w:hAnsi="宋体" w:eastAsia="宋体"/>
                <w:color w:val="000000"/>
                <w:kern w:val="0"/>
                <w:sz w:val="15"/>
                <w:szCs w:val="15"/>
              </w:rPr>
              <w:t>①</w:t>
            </w:r>
            <w:r>
              <w:rPr>
                <w:rFonts w:hint="eastAsia" w:eastAsia="宋体"/>
                <w:color w:val="000000"/>
                <w:kern w:val="0"/>
                <w:sz w:val="15"/>
                <w:szCs w:val="15"/>
              </w:rPr>
              <w:t>未将所属单位国有资产纳入系统管理，每少一个单位扣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②</w:t>
            </w:r>
            <w:r>
              <w:rPr>
                <w:rFonts w:hint="eastAsia" w:eastAsia="宋体"/>
                <w:color w:val="000000"/>
                <w:kern w:val="0"/>
                <w:sz w:val="15"/>
                <w:szCs w:val="15"/>
              </w:rPr>
              <w:t>未将资产变动情况及时录入系统，每次扣</w:t>
            </w:r>
            <w:r>
              <w:rPr>
                <w:rFonts w:eastAsia="宋体"/>
                <w:color w:val="000000"/>
                <w:kern w:val="0"/>
                <w:sz w:val="15"/>
                <w:szCs w:val="15"/>
              </w:rPr>
              <w:t>0.5</w:t>
            </w:r>
            <w:r>
              <w:rPr>
                <w:rFonts w:hint="eastAsia" w:eastAsia="宋体"/>
                <w:color w:val="000000"/>
                <w:kern w:val="0"/>
                <w:sz w:val="15"/>
                <w:szCs w:val="15"/>
              </w:rPr>
              <w:t>分。</w:t>
            </w:r>
            <w:r>
              <w:rPr>
                <w:rFonts w:hint="eastAsia" w:ascii="宋体" w:hAnsi="宋体" w:eastAsia="宋体"/>
                <w:color w:val="000000"/>
                <w:kern w:val="0"/>
                <w:sz w:val="15"/>
                <w:szCs w:val="15"/>
              </w:rPr>
              <w:t>③</w:t>
            </w:r>
            <w:r>
              <w:rPr>
                <w:rFonts w:hint="eastAsia" w:eastAsia="宋体"/>
                <w:color w:val="000000"/>
                <w:kern w:val="0"/>
                <w:sz w:val="15"/>
                <w:szCs w:val="15"/>
              </w:rPr>
              <w:t>未落实人员负责管理系统，扣</w:t>
            </w:r>
            <w:r>
              <w:rPr>
                <w:rFonts w:eastAsia="宋体"/>
                <w:color w:val="000000"/>
                <w:kern w:val="0"/>
                <w:sz w:val="15"/>
                <w:szCs w:val="15"/>
              </w:rPr>
              <w:t>1</w:t>
            </w:r>
            <w:r>
              <w:rPr>
                <w:rFonts w:hint="eastAsia" w:eastAsia="宋体"/>
                <w:color w:val="000000"/>
                <w:kern w:val="0"/>
                <w:sz w:val="15"/>
                <w:szCs w:val="15"/>
              </w:rPr>
              <w:t>分。</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1</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行政事业单位资产清查开展情况（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考核行政事业单位按要求及时、准确、全面开展资产清查工作情况</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ascii="宋体" w:hAnsi="宋体" w:eastAsia="宋体"/>
                <w:color w:val="000000"/>
                <w:kern w:val="0"/>
                <w:sz w:val="15"/>
                <w:szCs w:val="15"/>
              </w:rPr>
              <w:t>①</w:t>
            </w:r>
            <w:r>
              <w:rPr>
                <w:rFonts w:hint="eastAsia" w:eastAsia="宋体"/>
                <w:color w:val="000000"/>
                <w:kern w:val="0"/>
                <w:sz w:val="15"/>
                <w:szCs w:val="15"/>
              </w:rPr>
              <w:t>未在规定时间内完成资产清查任务扣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②</w:t>
            </w:r>
            <w:r>
              <w:rPr>
                <w:rFonts w:hint="eastAsia" w:eastAsia="宋体"/>
                <w:color w:val="000000"/>
                <w:kern w:val="0"/>
                <w:sz w:val="15"/>
                <w:szCs w:val="15"/>
              </w:rPr>
              <w:t>资产清查结果与财政组织复核的结果误差超过</w:t>
            </w:r>
            <w:r>
              <w:rPr>
                <w:rFonts w:eastAsia="宋体"/>
                <w:color w:val="000000"/>
                <w:kern w:val="0"/>
                <w:sz w:val="15"/>
                <w:szCs w:val="15"/>
              </w:rPr>
              <w:t>10%</w:t>
            </w:r>
            <w:r>
              <w:rPr>
                <w:rFonts w:hint="eastAsia" w:eastAsia="宋体"/>
                <w:color w:val="000000"/>
                <w:kern w:val="0"/>
                <w:sz w:val="15"/>
                <w:szCs w:val="15"/>
              </w:rPr>
              <w:t>的扣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③</w:t>
            </w:r>
            <w:r>
              <w:rPr>
                <w:rFonts w:hint="eastAsia" w:eastAsia="宋体"/>
                <w:color w:val="000000"/>
                <w:kern w:val="0"/>
                <w:sz w:val="15"/>
                <w:szCs w:val="15"/>
              </w:rPr>
              <w:t>未及时按批复的清查结果进行账务调整扣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④</w:t>
            </w:r>
            <w:r>
              <w:rPr>
                <w:rFonts w:hint="eastAsia" w:eastAsia="宋体"/>
                <w:color w:val="000000"/>
                <w:kern w:val="0"/>
                <w:sz w:val="15"/>
                <w:szCs w:val="15"/>
              </w:rPr>
              <w:t>未及时更新资产管理信息系统，导致系统资产数据与上报财政的资产清查结果不一致扣</w:t>
            </w:r>
            <w:r>
              <w:rPr>
                <w:rFonts w:eastAsia="宋体"/>
                <w:color w:val="000000"/>
                <w:kern w:val="0"/>
                <w:sz w:val="15"/>
                <w:szCs w:val="15"/>
              </w:rPr>
              <w:t>1</w:t>
            </w:r>
            <w:r>
              <w:rPr>
                <w:rFonts w:hint="eastAsia" w:eastAsia="宋体"/>
                <w:color w:val="000000"/>
                <w:kern w:val="0"/>
                <w:sz w:val="15"/>
                <w:szCs w:val="15"/>
              </w:rPr>
              <w:t>分。</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1</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行政事业单位资产报表上报情况（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考核行政事业单位上报国有资产报表数据的真实性、准确性、全面性</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ascii="宋体" w:hAnsi="宋体" w:eastAsia="宋体"/>
                <w:color w:val="000000"/>
                <w:kern w:val="0"/>
                <w:sz w:val="15"/>
                <w:szCs w:val="15"/>
              </w:rPr>
              <w:t>①</w:t>
            </w:r>
            <w:r>
              <w:rPr>
                <w:rFonts w:hint="eastAsia" w:eastAsia="宋体"/>
                <w:color w:val="000000"/>
                <w:kern w:val="0"/>
                <w:sz w:val="15"/>
                <w:szCs w:val="15"/>
              </w:rPr>
              <w:t>未落实专人负责资产报表，未及时上报资产报表扣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②</w:t>
            </w:r>
            <w:r>
              <w:rPr>
                <w:rFonts w:hint="eastAsia" w:eastAsia="宋体"/>
                <w:color w:val="000000"/>
                <w:kern w:val="0"/>
                <w:sz w:val="15"/>
                <w:szCs w:val="15"/>
              </w:rPr>
              <w:t>报表填报不规范，内容不完整，数据不真实，扣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③</w:t>
            </w:r>
            <w:r>
              <w:rPr>
                <w:rFonts w:hint="eastAsia" w:eastAsia="宋体"/>
                <w:color w:val="000000"/>
                <w:kern w:val="0"/>
                <w:sz w:val="15"/>
                <w:szCs w:val="15"/>
              </w:rPr>
              <w:t>未提交分析报告，对资产变动情况未作分析说明，扣</w:t>
            </w:r>
            <w:r>
              <w:rPr>
                <w:rFonts w:eastAsia="宋体"/>
                <w:color w:val="000000"/>
                <w:kern w:val="0"/>
                <w:sz w:val="15"/>
                <w:szCs w:val="15"/>
              </w:rPr>
              <w:t>1</w:t>
            </w:r>
            <w:r>
              <w:rPr>
                <w:rFonts w:hint="eastAsia" w:eastAsia="宋体"/>
                <w:color w:val="000000"/>
                <w:kern w:val="0"/>
                <w:sz w:val="15"/>
                <w:szCs w:val="15"/>
              </w:rPr>
              <w:t>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552"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tcBorders>
              <w:top w:val="nil"/>
              <w:left w:val="nil"/>
              <w:bottom w:val="nil"/>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内控制度管理（</w:t>
            </w:r>
            <w:r>
              <w:rPr>
                <w:rFonts w:eastAsia="宋体"/>
                <w:color w:val="000000"/>
                <w:kern w:val="0"/>
                <w:sz w:val="15"/>
                <w:szCs w:val="15"/>
              </w:rPr>
              <w:t>2</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内部控制度健全完整（</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考核部门内部控制制度的设置和执行情况</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内部控制制度健全完整并执行良好的得分，否则不得分。在本年度内因内控制度不健全或执行不到位，造成单位出现廉政风险或发生重大责任事故的不得分。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519"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single" w:color="auto" w:sz="4" w:space="0"/>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信息公开（</w:t>
            </w:r>
            <w:r>
              <w:rPr>
                <w:rFonts w:eastAsia="宋体"/>
                <w:color w:val="000000"/>
                <w:kern w:val="0"/>
                <w:sz w:val="15"/>
                <w:szCs w:val="15"/>
              </w:rPr>
              <w:t>6</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预算公开（</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除涉密信息外，各部门要在财政部门批复后二十日内向社会公开本部门预算（含所有财政资金安排的</w:t>
            </w:r>
            <w:r>
              <w:rPr>
                <w:rFonts w:eastAsia="宋体"/>
                <w:color w:val="000000"/>
                <w:kern w:val="0"/>
                <w:sz w:val="15"/>
                <w:szCs w:val="15"/>
              </w:rPr>
              <w:t>“</w:t>
            </w:r>
            <w:r>
              <w:rPr>
                <w:rFonts w:hint="eastAsia" w:eastAsia="宋体"/>
                <w:color w:val="000000"/>
                <w:kern w:val="0"/>
                <w:sz w:val="15"/>
                <w:szCs w:val="15"/>
              </w:rPr>
              <w:t>三公</w:t>
            </w:r>
            <w:r>
              <w:rPr>
                <w:rFonts w:eastAsia="宋体"/>
                <w:color w:val="000000"/>
                <w:kern w:val="0"/>
                <w:sz w:val="15"/>
                <w:szCs w:val="15"/>
              </w:rPr>
              <w:t>”</w:t>
            </w:r>
            <w:r>
              <w:rPr>
                <w:rFonts w:hint="eastAsia" w:eastAsia="宋体"/>
                <w:color w:val="000000"/>
                <w:kern w:val="0"/>
                <w:sz w:val="15"/>
                <w:szCs w:val="15"/>
              </w:rPr>
              <w:t>经费、机关运行经费的安排、使用情况等）</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按市财政局通知要求公开预算，未按要求公开的，发现一处扣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single" w:color="auto" w:sz="4" w:space="0"/>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决算公开（</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除涉密信息外，各部门要在财政部门批复二十日内向社会公开本部门决算（含所有财政资金安排的</w:t>
            </w:r>
            <w:r>
              <w:rPr>
                <w:rFonts w:eastAsia="宋体"/>
                <w:color w:val="000000"/>
                <w:kern w:val="0"/>
                <w:sz w:val="15"/>
                <w:szCs w:val="15"/>
              </w:rPr>
              <w:t>“</w:t>
            </w:r>
            <w:r>
              <w:rPr>
                <w:rFonts w:hint="eastAsia" w:eastAsia="宋体"/>
                <w:color w:val="000000"/>
                <w:kern w:val="0"/>
                <w:sz w:val="15"/>
                <w:szCs w:val="15"/>
              </w:rPr>
              <w:t>三公</w:t>
            </w:r>
            <w:r>
              <w:rPr>
                <w:rFonts w:eastAsia="宋体"/>
                <w:color w:val="000000"/>
                <w:kern w:val="0"/>
                <w:sz w:val="15"/>
                <w:szCs w:val="15"/>
              </w:rPr>
              <w:t>”</w:t>
            </w:r>
            <w:r>
              <w:rPr>
                <w:rFonts w:hint="eastAsia" w:eastAsia="宋体"/>
                <w:color w:val="000000"/>
                <w:kern w:val="0"/>
                <w:sz w:val="15"/>
                <w:szCs w:val="15"/>
              </w:rPr>
              <w:t>经费、机关运行经费的安排、使用情况等）</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未按要求公开的，发现一处问题</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single" w:color="auto" w:sz="4" w:space="0"/>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绩效信息公开（</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按要求公开部门整体支出绩效自评报告及其他按要求应公开的绩效信息</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未按要求公开的，发现一处问题</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绩效评价（</w:t>
            </w:r>
            <w:r>
              <w:rPr>
                <w:rFonts w:eastAsia="宋体"/>
                <w:color w:val="000000"/>
                <w:kern w:val="0"/>
                <w:sz w:val="15"/>
                <w:szCs w:val="15"/>
              </w:rPr>
              <w:t>10</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评价项目覆盖率（</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部门实施绩效评价项目数量占部门申报绩效目标项目数量的比重，用以反映和考核部门实施绩效评价项目资金覆盖情况</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评价覆盖率</w:t>
            </w:r>
            <w:r>
              <w:rPr>
                <w:rFonts w:eastAsia="宋体"/>
                <w:color w:val="000000"/>
                <w:kern w:val="0"/>
                <w:sz w:val="15"/>
                <w:szCs w:val="15"/>
              </w:rPr>
              <w:t>=</w:t>
            </w:r>
            <w:r>
              <w:rPr>
                <w:rFonts w:hint="eastAsia" w:eastAsia="宋体"/>
                <w:color w:val="000000"/>
                <w:kern w:val="0"/>
                <w:sz w:val="15"/>
                <w:szCs w:val="15"/>
              </w:rPr>
              <w:t>实施绩效评价项目数量</w:t>
            </w:r>
            <w:r>
              <w:rPr>
                <w:rFonts w:eastAsia="宋体"/>
                <w:color w:val="000000"/>
                <w:kern w:val="0"/>
                <w:sz w:val="15"/>
                <w:szCs w:val="15"/>
              </w:rPr>
              <w:t>/</w:t>
            </w:r>
            <w:r>
              <w:rPr>
                <w:rFonts w:hint="eastAsia" w:eastAsia="宋体"/>
                <w:color w:val="000000"/>
                <w:kern w:val="0"/>
                <w:sz w:val="15"/>
                <w:szCs w:val="15"/>
              </w:rPr>
              <w:t>申报绩效目标项目数量</w:t>
            </w:r>
            <w:r>
              <w:rPr>
                <w:rFonts w:eastAsia="宋体"/>
                <w:color w:val="000000"/>
                <w:kern w:val="0"/>
                <w:sz w:val="15"/>
                <w:szCs w:val="15"/>
              </w:rPr>
              <w:t>×100%</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评价层次（</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部门（单位）是否对下级预算单位开展整体绩效评价</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实施评价下级预算单位的得分，否则不得分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评价结果报告（</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部门是否按要求向财政部门报告自评报告等相关绩效信息</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未按要求报送的，发现一处扣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整改完成率（</w:t>
            </w:r>
            <w:r>
              <w:rPr>
                <w:rFonts w:eastAsia="宋体"/>
                <w:color w:val="000000"/>
                <w:kern w:val="0"/>
                <w:sz w:val="15"/>
                <w:szCs w:val="15"/>
              </w:rPr>
              <w:t>4</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部门是否按要求针对绩效评价发现问题制定整改措施，并整改落实到位</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完成率</w:t>
            </w:r>
            <w:r>
              <w:rPr>
                <w:rFonts w:eastAsia="宋体"/>
                <w:color w:val="000000"/>
                <w:kern w:val="0"/>
                <w:sz w:val="15"/>
                <w:szCs w:val="15"/>
              </w:rPr>
              <w:t>=</w:t>
            </w:r>
            <w:r>
              <w:rPr>
                <w:rFonts w:hint="eastAsia" w:eastAsia="宋体"/>
                <w:color w:val="000000"/>
                <w:kern w:val="0"/>
                <w:sz w:val="15"/>
                <w:szCs w:val="15"/>
              </w:rPr>
              <w:t>应制定整改措施的项目数量</w:t>
            </w:r>
            <w:r>
              <w:rPr>
                <w:rFonts w:eastAsia="宋体"/>
                <w:color w:val="000000"/>
                <w:kern w:val="0"/>
                <w:sz w:val="15"/>
                <w:szCs w:val="15"/>
              </w:rPr>
              <w:t>/</w:t>
            </w:r>
            <w:r>
              <w:rPr>
                <w:rFonts w:hint="eastAsia" w:eastAsia="宋体"/>
                <w:color w:val="000000"/>
                <w:kern w:val="0"/>
                <w:sz w:val="15"/>
                <w:szCs w:val="15"/>
              </w:rPr>
              <w:t>部门实际制定整改措施项目数量</w:t>
            </w:r>
            <w:r>
              <w:rPr>
                <w:rFonts w:eastAsia="宋体"/>
                <w:color w:val="000000"/>
                <w:kern w:val="0"/>
                <w:sz w:val="15"/>
                <w:szCs w:val="15"/>
              </w:rPr>
              <w:t>×100%</w:t>
            </w:r>
            <w:r>
              <w:rPr>
                <w:rFonts w:hint="eastAsia" w:eastAsia="宋体"/>
                <w:color w:val="000000"/>
                <w:kern w:val="0"/>
                <w:sz w:val="15"/>
                <w:szCs w:val="15"/>
              </w:rPr>
              <w:t>。</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4</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566"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依法接受财政监督（</w:t>
            </w:r>
            <w:r>
              <w:rPr>
                <w:rFonts w:eastAsia="宋体"/>
                <w:color w:val="000000"/>
                <w:kern w:val="0"/>
                <w:sz w:val="15"/>
                <w:szCs w:val="15"/>
              </w:rPr>
              <w:t>6</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是否按要求开展自查自纠</w:t>
            </w:r>
            <w:r>
              <w:rPr>
                <w:rFonts w:eastAsia="宋体"/>
                <w:color w:val="000000"/>
                <w:kern w:val="0"/>
                <w:sz w:val="15"/>
                <w:szCs w:val="15"/>
              </w:rPr>
              <w:br w:type="textWrapping"/>
            </w:r>
            <w:r>
              <w:rPr>
                <w:rFonts w:hint="eastAsia" w:eastAsia="宋体"/>
                <w:color w:val="000000"/>
                <w:kern w:val="0"/>
                <w:sz w:val="15"/>
                <w:szCs w:val="15"/>
              </w:rPr>
              <w:t>（</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根据相关自查自纠报告、报表报送时效和质量进行考核</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未在规定时间内报送自查自纠相关材料（包括：纸质和电子版）的，扣</w:t>
            </w:r>
            <w:r>
              <w:rPr>
                <w:rFonts w:eastAsia="宋体"/>
                <w:color w:val="000000"/>
                <w:kern w:val="0"/>
                <w:sz w:val="15"/>
                <w:szCs w:val="15"/>
              </w:rPr>
              <w:t>0.5</w:t>
            </w:r>
            <w:r>
              <w:rPr>
                <w:rFonts w:hint="eastAsia" w:eastAsia="宋体"/>
                <w:color w:val="000000"/>
                <w:kern w:val="0"/>
                <w:sz w:val="15"/>
                <w:szCs w:val="15"/>
              </w:rPr>
              <w:t>分；报告内容不完整，扣</w:t>
            </w:r>
            <w:r>
              <w:rPr>
                <w:rFonts w:eastAsia="宋体"/>
                <w:color w:val="000000"/>
                <w:kern w:val="0"/>
                <w:sz w:val="15"/>
                <w:szCs w:val="15"/>
              </w:rPr>
              <w:t>1</w:t>
            </w:r>
            <w:r>
              <w:rPr>
                <w:rFonts w:hint="eastAsia" w:eastAsia="宋体"/>
                <w:color w:val="000000"/>
                <w:kern w:val="0"/>
                <w:sz w:val="15"/>
                <w:szCs w:val="15"/>
              </w:rPr>
              <w:t>分；报表质量差（如：数据、逻辑、勾稽关系错误）等扣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重点检查发现违规违纪问题（</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根据检查组提供的工作底稿、检查报告等资料进行考核</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专项检查发现的违纪违规问题，每个问题扣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97"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存在问题整改是否到位</w:t>
            </w:r>
            <w:r>
              <w:rPr>
                <w:rFonts w:eastAsia="宋体"/>
                <w:color w:val="000000"/>
                <w:kern w:val="0"/>
                <w:sz w:val="15"/>
                <w:szCs w:val="15"/>
              </w:rPr>
              <w:br w:type="textWrapping"/>
            </w:r>
            <w:r>
              <w:rPr>
                <w:rFonts w:hint="eastAsia" w:eastAsia="宋体"/>
                <w:color w:val="000000"/>
                <w:kern w:val="0"/>
                <w:sz w:val="15"/>
                <w:szCs w:val="15"/>
              </w:rPr>
              <w:t>（</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根据相关整改报告、凭证依据等相关证明材料进行考核</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未在规定时间内完成整改，并提供相关证明材料的，每个问题</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331" w:hRule="atLeast"/>
          <w:jc w:val="center"/>
        </w:trPr>
        <w:tc>
          <w:tcPr>
            <w:tcW w:w="704" w:type="dxa"/>
            <w:vMerge w:val="restart"/>
            <w:tcBorders>
              <w:top w:val="nil"/>
              <w:left w:val="single" w:color="auto" w:sz="4" w:space="0"/>
              <w:bottom w:val="single" w:color="000000" w:sz="4" w:space="0"/>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整体效益（</w:t>
            </w:r>
            <w:r>
              <w:rPr>
                <w:rFonts w:eastAsia="宋体"/>
                <w:color w:val="000000"/>
                <w:kern w:val="0"/>
                <w:sz w:val="15"/>
                <w:szCs w:val="15"/>
              </w:rPr>
              <w:t>30</w:t>
            </w:r>
            <w:r>
              <w:rPr>
                <w:rFonts w:hint="eastAsia" w:eastAsia="宋体"/>
                <w:color w:val="000000"/>
                <w:kern w:val="0"/>
                <w:sz w:val="15"/>
                <w:szCs w:val="15"/>
              </w:rPr>
              <w:t>分）</w:t>
            </w:r>
          </w:p>
        </w:tc>
        <w:tc>
          <w:tcPr>
            <w:tcW w:w="1276" w:type="dxa"/>
            <w:vMerge w:val="restart"/>
            <w:tcBorders>
              <w:top w:val="nil"/>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部门整体绩效（</w:t>
            </w:r>
            <w:r>
              <w:rPr>
                <w:rFonts w:eastAsia="宋体"/>
                <w:color w:val="000000"/>
                <w:kern w:val="0"/>
                <w:sz w:val="15"/>
                <w:szCs w:val="15"/>
              </w:rPr>
              <w:t>30</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部门职责履行结果（</w:t>
            </w:r>
            <w:r>
              <w:rPr>
                <w:rFonts w:eastAsia="宋体"/>
                <w:color w:val="000000"/>
                <w:kern w:val="0"/>
                <w:sz w:val="15"/>
                <w:szCs w:val="15"/>
              </w:rPr>
              <w:t>10</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履行法定职责，完成市委、市政府决策部署和重大工作任务完成情况</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根据市政府部门绩效评估结果换算</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10</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重点项目绩效评价结果（</w:t>
            </w:r>
            <w:r>
              <w:rPr>
                <w:rFonts w:eastAsia="宋体"/>
                <w:color w:val="000000"/>
                <w:kern w:val="0"/>
                <w:sz w:val="15"/>
                <w:szCs w:val="15"/>
              </w:rPr>
              <w:t>10</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部门实施重大项目的经济、社会效益</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根据市财政局组织实施项目绩效评价结果换算</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10</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服务对象满意度（</w:t>
            </w:r>
            <w:r>
              <w:rPr>
                <w:rFonts w:eastAsia="宋体"/>
                <w:color w:val="000000"/>
                <w:kern w:val="0"/>
                <w:sz w:val="15"/>
                <w:szCs w:val="15"/>
              </w:rPr>
              <w:t>10</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密切联系群众、服务群众情况，办理人大代表建议、政协提案情况，妥善处理群众来信来访、化解社会矛盾情况，加强政风行风建设、解决损害群众利益情况</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根据市政府部门绩效评估结果换算</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10</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29" w:hRule="atLeast"/>
          <w:jc w:val="center"/>
        </w:trPr>
        <w:tc>
          <w:tcPr>
            <w:tcW w:w="704" w:type="dxa"/>
            <w:tcBorders>
              <w:top w:val="nil"/>
              <w:left w:val="single" w:color="auto" w:sz="4" w:space="0"/>
              <w:bottom w:val="single" w:color="000000" w:sz="4" w:space="0"/>
              <w:right w:val="single" w:color="auto" w:sz="4" w:space="0"/>
            </w:tcBorders>
            <w:vAlign w:val="center"/>
          </w:tcPr>
          <w:p>
            <w:pPr>
              <w:spacing w:line="200" w:lineRule="exact"/>
              <w:jc w:val="center"/>
              <w:rPr>
                <w:rFonts w:eastAsia="宋体"/>
                <w:b/>
                <w:bCs/>
                <w:color w:val="000000"/>
                <w:kern w:val="0"/>
                <w:sz w:val="15"/>
                <w:szCs w:val="15"/>
              </w:rPr>
            </w:pPr>
            <w:r>
              <w:rPr>
                <w:rFonts w:hint="eastAsia" w:eastAsia="宋体"/>
                <w:b/>
                <w:bCs/>
                <w:color w:val="000000"/>
                <w:kern w:val="0"/>
                <w:sz w:val="15"/>
                <w:szCs w:val="15"/>
              </w:rPr>
              <w:t>合计</w:t>
            </w:r>
          </w:p>
        </w:tc>
        <w:tc>
          <w:tcPr>
            <w:tcW w:w="1276" w:type="dxa"/>
            <w:tcBorders>
              <w:top w:val="nil"/>
              <w:left w:val="nil"/>
              <w:bottom w:val="single" w:color="000000" w:sz="4" w:space="0"/>
              <w:right w:val="single" w:color="auto" w:sz="4" w:space="0"/>
            </w:tcBorders>
            <w:vAlign w:val="center"/>
          </w:tcPr>
          <w:p>
            <w:pPr>
              <w:spacing w:line="200" w:lineRule="exact"/>
              <w:jc w:val="center"/>
              <w:rPr>
                <w:rFonts w:eastAsia="宋体"/>
                <w:b/>
                <w:bCs/>
                <w:color w:val="000000"/>
                <w:kern w:val="0"/>
                <w:sz w:val="15"/>
                <w:szCs w:val="15"/>
              </w:rPr>
            </w:pPr>
            <w:r>
              <w:rPr>
                <w:rFonts w:eastAsia="宋体"/>
                <w:b/>
                <w:bCs/>
                <w:color w:val="000000"/>
                <w:kern w:val="0"/>
                <w:sz w:val="15"/>
                <w:szCs w:val="15"/>
              </w:rPr>
              <w:t>100</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97.80</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389" w:hRule="atLeast"/>
          <w:jc w:val="center"/>
        </w:trPr>
        <w:tc>
          <w:tcPr>
            <w:tcW w:w="14560" w:type="dxa"/>
            <w:gridSpan w:val="7"/>
            <w:tcBorders>
              <w:top w:val="single" w:color="auto" w:sz="4" w:space="0"/>
              <w:left w:val="nil"/>
              <w:bottom w:val="nil"/>
              <w:right w:val="nil"/>
            </w:tcBorders>
            <w:vAlign w:val="center"/>
          </w:tcPr>
          <w:p>
            <w:pPr>
              <w:spacing w:line="200" w:lineRule="exact"/>
              <w:rPr>
                <w:rFonts w:eastAsia="宋体"/>
                <w:b/>
                <w:bCs/>
                <w:color w:val="000000"/>
                <w:kern w:val="0"/>
                <w:sz w:val="15"/>
                <w:szCs w:val="15"/>
              </w:rPr>
            </w:pPr>
            <w:r>
              <w:rPr>
                <w:rFonts w:hint="eastAsia" w:eastAsia="宋体"/>
                <w:b/>
                <w:bCs/>
                <w:color w:val="000000"/>
                <w:kern w:val="0"/>
                <w:sz w:val="15"/>
                <w:szCs w:val="15"/>
              </w:rPr>
              <w:t>注：若某部门不存在某项评价内容或评价指标，则该评价内容或评价指标不计入该部门考核评价范围，即该部门评价总分＝不含该评价内容或指标的评价总分</w:t>
            </w:r>
            <w:r>
              <w:rPr>
                <w:rFonts w:eastAsia="宋体"/>
                <w:b/>
                <w:bCs/>
                <w:color w:val="000000"/>
                <w:kern w:val="0"/>
                <w:sz w:val="15"/>
                <w:szCs w:val="15"/>
              </w:rPr>
              <w:t>/</w:t>
            </w:r>
            <w:r>
              <w:rPr>
                <w:rFonts w:hint="eastAsia" w:eastAsia="宋体"/>
                <w:b/>
                <w:bCs/>
                <w:color w:val="000000"/>
                <w:kern w:val="0"/>
                <w:sz w:val="15"/>
                <w:szCs w:val="15"/>
              </w:rPr>
              <w:t>（</w:t>
            </w:r>
            <w:r>
              <w:rPr>
                <w:rFonts w:eastAsia="宋体"/>
                <w:b/>
                <w:bCs/>
                <w:color w:val="000000"/>
                <w:kern w:val="0"/>
                <w:sz w:val="15"/>
                <w:szCs w:val="15"/>
              </w:rPr>
              <w:t>100—</w:t>
            </w:r>
            <w:r>
              <w:rPr>
                <w:rFonts w:hint="eastAsia" w:eastAsia="宋体"/>
                <w:b/>
                <w:bCs/>
                <w:color w:val="000000"/>
                <w:kern w:val="0"/>
                <w:sz w:val="15"/>
                <w:szCs w:val="15"/>
              </w:rPr>
              <w:t>该评价内容或指标所占分值）</w:t>
            </w:r>
            <w:r>
              <w:rPr>
                <w:rFonts w:eastAsia="宋体"/>
                <w:b/>
                <w:bCs/>
                <w:color w:val="000000"/>
                <w:kern w:val="0"/>
                <w:sz w:val="15"/>
                <w:szCs w:val="15"/>
              </w:rPr>
              <w:t>*100</w:t>
            </w:r>
            <w:r>
              <w:rPr>
                <w:rFonts w:hint="eastAsia" w:eastAsia="宋体"/>
                <w:b/>
                <w:bCs/>
                <w:color w:val="000000"/>
                <w:kern w:val="0"/>
                <w:sz w:val="15"/>
                <w:szCs w:val="15"/>
              </w:rPr>
              <w:t>。</w:t>
            </w:r>
          </w:p>
        </w:tc>
      </w:tr>
    </w:tbl>
    <w:p>
      <w:pPr>
        <w:widowControl/>
        <w:jc w:val="left"/>
        <w:rPr>
          <w:rFonts w:ascii="黑体" w:hAnsi="黑体" w:eastAsia="黑体" w:cs="宋体"/>
          <w:color w:val="000000"/>
          <w:kern w:val="0"/>
        </w:rPr>
        <w:sectPr>
          <w:pgSz w:w="16838" w:h="11905" w:orient="landscape"/>
          <w:pgMar w:top="1587" w:right="2098" w:bottom="1474" w:left="1984" w:header="720" w:footer="720" w:gutter="0"/>
          <w:cols w:space="720" w:num="1"/>
          <w:docGrid w:type="lines" w:linePitch="442" w:charSpace="0"/>
        </w:sectPr>
      </w:pPr>
    </w:p>
    <w:p>
      <w:pPr>
        <w:rPr>
          <w:rFonts w:hint="eastAsia" w:ascii="Times New Roman" w:hAnsi="Times New Roman" w:eastAsia="仿宋_GB2312" w:cs="Times New Roman"/>
          <w:kern w:val="2"/>
          <w:sz w:val="32"/>
          <w:szCs w:val="24"/>
          <w:lang w:val="en-US" w:eastAsia="zh-CN" w:bidi="ar-SA"/>
        </w:rPr>
      </w:pPr>
      <w:bookmarkStart w:id="209" w:name="_Toc29167"/>
      <w:r>
        <w:rPr>
          <w:rFonts w:hint="eastAsia" w:cs="Times New Roman"/>
          <w:kern w:val="2"/>
          <w:sz w:val="32"/>
          <w:szCs w:val="24"/>
          <w:lang w:val="en-US" w:eastAsia="zh-CN" w:bidi="ar-SA"/>
        </w:rPr>
        <w:t>附件2</w:t>
      </w:r>
    </w:p>
    <w:bookmarkEnd w:id="209"/>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bookmarkStart w:id="210" w:name="_Toc22659"/>
      <w:r>
        <w:rPr>
          <w:rFonts w:hint="eastAsia" w:ascii="方正小标宋简体" w:hAnsi="宋体" w:eastAsia="方正小标宋简体" w:cs="方正小标宋简体"/>
          <w:kern w:val="2"/>
          <w:sz w:val="44"/>
          <w:szCs w:val="44"/>
          <w:lang w:val="en-US" w:eastAsia="zh-CN" w:bidi="ar"/>
        </w:rPr>
        <w:t>项目支出绩效评价报告</w:t>
      </w:r>
      <w:bookmarkEnd w:id="210"/>
    </w:p>
    <w:p>
      <w:pPr>
        <w:keepNext w:val="0"/>
        <w:keepLines w:val="0"/>
        <w:pageBreakBefore w:val="0"/>
        <w:kinsoku/>
        <w:wordWrap/>
        <w:overflowPunct/>
        <w:topLinePunct w:val="0"/>
        <w:autoSpaceDE/>
        <w:autoSpaceDN/>
        <w:bidi w:val="0"/>
        <w:adjustRightInd/>
        <w:snapToGrid w:val="0"/>
        <w:spacing w:line="592" w:lineRule="exact"/>
        <w:jc w:val="center"/>
        <w:textAlignment w:val="auto"/>
        <w:rPr>
          <w:rFonts w:hint="eastAsia" w:ascii="宋体" w:hAnsi="宋体" w:cs="宋体"/>
          <w:b/>
          <w:bCs/>
        </w:rPr>
      </w:pPr>
      <w:r>
        <w:rPr>
          <w:rFonts w:hint="eastAsia" w:ascii="仿宋_GB2312" w:hAnsi="宋体"/>
        </w:rPr>
        <w:t>（</w:t>
      </w:r>
      <w:r>
        <w:rPr>
          <w:rFonts w:hint="eastAsia" w:ascii="仿宋_GB2312" w:hAnsi="宋体"/>
          <w:lang w:val="en-US" w:eastAsia="zh-CN"/>
        </w:rPr>
        <w:t>市纪委</w:t>
      </w:r>
      <w:r>
        <w:rPr>
          <w:rFonts w:hAnsi="宋体"/>
        </w:rPr>
        <w:t>办案工作经费</w:t>
      </w:r>
      <w:r>
        <w:rPr>
          <w:rFonts w:hint="eastAsia" w:ascii="仿宋_GB2312" w:hAnsi="宋体"/>
        </w:rPr>
        <w:t>项目）</w:t>
      </w:r>
      <w:r>
        <w:rPr>
          <w:rFonts w:hint="eastAsia" w:ascii="宋体" w:hAnsi="宋体" w:cs="宋体"/>
          <w:b/>
          <w:bCs/>
        </w:rPr>
        <w:t xml:space="preserve"> </w:t>
      </w:r>
    </w:p>
    <w:p>
      <w:pPr>
        <w:pStyle w:val="2"/>
        <w:rPr>
          <w:rFonts w:hint="eastAsia"/>
        </w:rPr>
      </w:pPr>
    </w:p>
    <w:p>
      <w:pPr>
        <w:spacing w:line="600" w:lineRule="exact"/>
        <w:ind w:firstLine="640" w:firstLineChars="200"/>
        <w:outlineLvl w:val="1"/>
        <w:rPr>
          <w:rFonts w:hint="eastAsia" w:ascii="黑体" w:hAnsi="黑体" w:eastAsia="黑体"/>
          <w:color w:val="000000"/>
          <w:sz w:val="32"/>
          <w:szCs w:val="32"/>
          <w:lang w:val="en-US" w:eastAsia="zh-CN"/>
        </w:rPr>
      </w:pPr>
      <w:bookmarkStart w:id="211" w:name="_Toc24919"/>
      <w:bookmarkStart w:id="212" w:name="_Toc18902"/>
      <w:r>
        <w:rPr>
          <w:rFonts w:hint="eastAsia" w:ascii="黑体" w:hAnsi="黑体" w:eastAsia="黑体"/>
          <w:color w:val="000000"/>
          <w:sz w:val="32"/>
          <w:szCs w:val="32"/>
          <w:lang w:val="en-US" w:eastAsia="zh-CN"/>
        </w:rPr>
        <w:t>一、评价工作开展及项目情况</w:t>
      </w:r>
      <w:bookmarkEnd w:id="211"/>
      <w:bookmarkEnd w:id="2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为深入了解2022年办案工作经费项目工作开展情况，先后从</w:t>
      </w:r>
      <w:r>
        <w:rPr>
          <w:rFonts w:hint="default" w:ascii="仿宋_GB2312" w:hAnsi="仿宋_GB2312" w:eastAsia="仿宋_GB2312" w:cs="仿宋_GB2312"/>
          <w:color w:val="auto"/>
          <w:sz w:val="32"/>
          <w:szCs w:val="32"/>
          <w:highlight w:val="none"/>
          <w:lang w:val="en-US" w:eastAsia="zh-CN"/>
        </w:rPr>
        <w:t>谈话函询率</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结案率</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办案安全</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满意度</w:t>
      </w:r>
      <w:r>
        <w:rPr>
          <w:rFonts w:hint="eastAsia" w:ascii="仿宋_GB2312" w:hAnsi="仿宋_GB2312" w:eastAsia="仿宋_GB2312" w:cs="仿宋_GB2312"/>
          <w:color w:val="auto"/>
          <w:sz w:val="32"/>
          <w:szCs w:val="32"/>
          <w:highlight w:val="none"/>
          <w:lang w:val="en-US" w:eastAsia="zh-CN"/>
        </w:rPr>
        <w:t>等点位入手，采取查阅信息系统、个别交谈、查阅资料等方式</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对项目的预算情况、预算执行情况、产生的绩效情况以及存在的问题等进行全面深入进行评价。该项目主要是保障办案过程中所需录音录像刻录硬盘购买</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 xml:space="preserve">公安看护人员、驻点医务人员、驻点监督人员公杂费等办案过程所需费用，采取定期或不定期进行支付。     </w:t>
      </w:r>
    </w:p>
    <w:p>
      <w:pPr>
        <w:spacing w:line="600" w:lineRule="exact"/>
        <w:ind w:firstLine="640" w:firstLineChars="200"/>
        <w:outlineLvl w:val="1"/>
        <w:rPr>
          <w:rFonts w:hint="eastAsia" w:ascii="黑体" w:hAnsi="黑体" w:eastAsia="黑体"/>
          <w:color w:val="000000"/>
          <w:sz w:val="32"/>
          <w:szCs w:val="32"/>
          <w:lang w:val="en-US" w:eastAsia="zh-CN"/>
        </w:rPr>
      </w:pPr>
      <w:bookmarkStart w:id="213" w:name="_Toc3038"/>
      <w:bookmarkStart w:id="214" w:name="_Toc23372"/>
      <w:r>
        <w:rPr>
          <w:rFonts w:hint="eastAsia" w:ascii="黑体" w:hAnsi="黑体" w:eastAsia="黑体"/>
          <w:color w:val="000000"/>
          <w:sz w:val="32"/>
          <w:szCs w:val="32"/>
          <w:lang w:val="en-US" w:eastAsia="zh-CN"/>
        </w:rPr>
        <w:t>二、评价结论及绩效分析</w:t>
      </w:r>
      <w:bookmarkEnd w:id="213"/>
      <w:bookmarkEnd w:id="214"/>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楷体_GB2312" w:hAnsi="宋体" w:eastAsia="楷体_GB2312"/>
          <w:b/>
          <w:bCs/>
        </w:rPr>
      </w:pPr>
      <w:r>
        <w:rPr>
          <w:rFonts w:hint="eastAsia" w:ascii="楷体_GB2312" w:hAnsi="宋体" w:eastAsia="楷体_GB2312"/>
          <w:b/>
          <w:bCs/>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2022年办案工作经费项目工作开展情况严格按照各项制度规定推进，经费使用产生的效益达到预期，</w:t>
      </w:r>
      <w:r>
        <w:rPr>
          <w:rFonts w:hint="default" w:ascii="仿宋_GB2312" w:hAnsi="仿宋_GB2312" w:eastAsia="仿宋_GB2312" w:cs="仿宋_GB2312"/>
          <w:color w:val="auto"/>
          <w:sz w:val="32"/>
          <w:szCs w:val="32"/>
          <w:highlight w:val="none"/>
          <w:lang w:val="en-US" w:eastAsia="zh-CN"/>
        </w:rPr>
        <w:t>谈话函询率</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结案率</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办案安全</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满意度</w:t>
      </w:r>
      <w:r>
        <w:rPr>
          <w:rFonts w:hint="eastAsia" w:ascii="仿宋_GB2312" w:hAnsi="仿宋_GB2312" w:eastAsia="仿宋_GB2312" w:cs="仿宋_GB2312"/>
          <w:color w:val="auto"/>
          <w:sz w:val="32"/>
          <w:szCs w:val="32"/>
          <w:highlight w:val="none"/>
          <w:lang w:val="en-US" w:eastAsia="zh-CN"/>
        </w:rPr>
        <w:t>等各项核心评价指标达到或高于预计值，全市政治生态持续向良好。</w:t>
      </w:r>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楷体_GB2312" w:hAnsi="宋体" w:eastAsia="楷体_GB2312"/>
          <w:b/>
          <w:bCs/>
        </w:rPr>
      </w:pPr>
      <w:r>
        <w:rPr>
          <w:rFonts w:hint="eastAsia" w:ascii="楷体_GB2312" w:hAnsi="宋体" w:eastAsia="楷体_GB2312"/>
          <w:b/>
          <w:bCs/>
        </w:rPr>
        <w:t>（二）绩效分析</w:t>
      </w:r>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仿宋_GB2312"/>
          <w:b/>
          <w:bCs/>
        </w:rPr>
      </w:pPr>
      <w:r>
        <w:rPr>
          <w:rFonts w:hint="eastAsia" w:ascii="仿宋_GB2312"/>
          <w:b/>
          <w:bCs/>
        </w:rPr>
        <w:t>1.项目决策</w:t>
      </w:r>
    </w:p>
    <w:p>
      <w:pPr>
        <w:keepNext w:val="0"/>
        <w:keepLines w:val="0"/>
        <w:pageBreakBefore w:val="0"/>
        <w:kinsoku/>
        <w:wordWrap/>
        <w:overflowPunct/>
        <w:topLinePunct w:val="0"/>
        <w:autoSpaceDE/>
        <w:autoSpaceDN/>
        <w:bidi w:val="0"/>
        <w:adjustRightInd/>
        <w:spacing w:line="592"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办案工作经费项目设置主要依据《自贡市纪检监察大案要案专项经费管理暂行办法》（自财行〔2016〕52号）、《关于调整自贡市纪检监察机关大案要案办案人员公杂费标准的复函》（自财行〔2017〕84号）相关规定，以及省纪委监委和其它市（州）纪委监委相关经验做法；主要实施内容包括：保证审查调查过程中看护人员、监控值守人员等日常工作正常开展；及时足量确保监控视频存储设备正常运行；保证其他工作产生的各种杂费所需等。项目在202</w:t>
      </w: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年底根据产出指标、效益指标和满意指标等综合考虑后，提前进行立项申报，并报相关部门审核，内容真实具体、程序符合相关制度规定。</w:t>
      </w:r>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仿宋_GB2312"/>
          <w:b/>
          <w:bCs/>
        </w:rPr>
      </w:pPr>
      <w:r>
        <w:rPr>
          <w:rFonts w:hint="eastAsia" w:ascii="仿宋_GB2312"/>
          <w:b/>
          <w:bCs/>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项目资金实际支出</w:t>
      </w:r>
      <w:r>
        <w:rPr>
          <w:rFonts w:hint="eastAsia" w:ascii="仿宋_GB2312" w:hAnsi="仿宋_GB2312" w:cs="仿宋_GB2312"/>
          <w:color w:val="auto"/>
          <w:sz w:val="32"/>
          <w:szCs w:val="32"/>
          <w:highlight w:val="none"/>
          <w:lang w:val="en-US" w:eastAsia="zh-CN"/>
        </w:rPr>
        <w:t>347.79</w:t>
      </w:r>
      <w:r>
        <w:rPr>
          <w:rFonts w:hint="eastAsia" w:ascii="仿宋_GB2312" w:hAnsi="仿宋_GB2312" w:eastAsia="仿宋_GB2312" w:cs="仿宋_GB2312"/>
          <w:color w:val="auto"/>
          <w:sz w:val="32"/>
          <w:szCs w:val="32"/>
          <w:highlight w:val="none"/>
          <w:lang w:val="en-US" w:eastAsia="zh-CN"/>
        </w:rPr>
        <w:t>万元，开支范围主要包括审查调查过程中看护人员、监控值守人员和案管室驻点值守人员的公杂费（50元/人.天）和加班餐补助（20元/人.天），并按照每月进行支付；同时，根据实际情况及时采购存储硬盘，用于刻录和下载审查调查过程中产生的监控视频资料。实施过程中，严格按照财务制度进行管理，报账前由经办部门负责制定明细表，经分管领导签字后交由财务室审核把关，并由财务室按照相关规定进行账务处理。期间，项目评价严格执行财务管理制度、财务处理及时有效、会计核算规范有序。</w:t>
      </w:r>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仿宋_GB2312"/>
          <w:b/>
          <w:bCs/>
        </w:rPr>
      </w:pPr>
      <w:r>
        <w:rPr>
          <w:rFonts w:hint="eastAsia" w:ascii="仿宋_GB2312"/>
          <w:b/>
          <w:bCs/>
        </w:rPr>
        <w:tab/>
      </w:r>
      <w:r>
        <w:rPr>
          <w:rFonts w:hint="eastAsia" w:ascii="仿宋_GB2312"/>
          <w:b/>
          <w:bCs/>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215" w:name="_Toc1039"/>
      <w:bookmarkStart w:id="216" w:name="_Toc10830"/>
      <w:bookmarkStart w:id="217" w:name="_Toc10550"/>
      <w:bookmarkStart w:id="218" w:name="_Toc20226"/>
      <w:r>
        <w:rPr>
          <w:rFonts w:hint="eastAsia" w:ascii="仿宋_GB2312" w:hAnsi="仿宋_GB2312" w:eastAsia="仿宋_GB2312" w:cs="仿宋_GB2312"/>
          <w:color w:val="auto"/>
          <w:sz w:val="32"/>
          <w:szCs w:val="32"/>
          <w:highlight w:val="none"/>
          <w:lang w:val="en-US" w:eastAsia="zh-CN"/>
        </w:rPr>
        <w:t>项目所有的资金均已到位，资金到位情况与资金计划使用情况基本上一致，资金到位率100%。在项目有效规范运行下，2022年问题线索处置率100%，谈话函询率99.1%，结案率96.3%，没有发生办案安全事故事件，全市政治生态持续向好，审查调查工作实现了</w:t>
      </w:r>
      <w:r>
        <w:rPr>
          <w:rFonts w:hint="default" w:ascii="仿宋_GB2312" w:hAnsi="仿宋_GB2312" w:eastAsia="仿宋_GB2312" w:cs="仿宋_GB2312"/>
          <w:color w:val="auto"/>
          <w:sz w:val="32"/>
          <w:szCs w:val="32"/>
          <w:highlight w:val="none"/>
          <w:lang w:val="en-US" w:eastAsia="zh-CN"/>
        </w:rPr>
        <w:t>政治效果、纪法效果、社会效果</w:t>
      </w:r>
      <w:r>
        <w:rPr>
          <w:rFonts w:hint="eastAsia" w:ascii="仿宋_GB2312" w:hAnsi="仿宋_GB2312" w:eastAsia="仿宋_GB2312" w:cs="仿宋_GB2312"/>
          <w:color w:val="auto"/>
          <w:sz w:val="32"/>
          <w:szCs w:val="32"/>
          <w:highlight w:val="none"/>
          <w:lang w:val="en-US" w:eastAsia="zh-CN"/>
        </w:rPr>
        <w:t>相统一。</w:t>
      </w:r>
      <w:bookmarkEnd w:id="215"/>
      <w:bookmarkEnd w:id="216"/>
      <w:bookmarkEnd w:id="217"/>
      <w:bookmarkEnd w:id="218"/>
    </w:p>
    <w:p>
      <w:pPr>
        <w:spacing w:line="600" w:lineRule="exact"/>
        <w:ind w:firstLine="640" w:firstLineChars="200"/>
        <w:outlineLvl w:val="1"/>
        <w:rPr>
          <w:rFonts w:hint="eastAsia" w:ascii="黑体" w:hAnsi="黑体" w:eastAsia="黑体"/>
          <w:color w:val="000000"/>
          <w:sz w:val="32"/>
          <w:szCs w:val="32"/>
          <w:lang w:val="en-US" w:eastAsia="zh-CN"/>
        </w:rPr>
      </w:pPr>
      <w:bookmarkStart w:id="219" w:name="_Toc20120"/>
      <w:bookmarkStart w:id="220" w:name="_Toc27340"/>
      <w:r>
        <w:rPr>
          <w:rFonts w:hint="eastAsia" w:ascii="黑体" w:hAnsi="黑体" w:eastAsia="黑体"/>
          <w:color w:val="000000"/>
          <w:sz w:val="32"/>
          <w:szCs w:val="32"/>
          <w:lang w:val="en-US" w:eastAsia="zh-CN"/>
        </w:rPr>
        <w:t>三、存在主要问题</w:t>
      </w:r>
      <w:bookmarkEnd w:id="219"/>
      <w:bookmarkEnd w:id="22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由于预算绩效管理工作专业性强，实施过程中涉及多个部门，并且也会受到一些不确定因素的影响，绩效工作精细化程度有待提高。</w:t>
      </w:r>
    </w:p>
    <w:p>
      <w:pPr>
        <w:spacing w:line="600" w:lineRule="exact"/>
        <w:ind w:firstLine="640" w:firstLineChars="200"/>
        <w:outlineLvl w:val="1"/>
        <w:rPr>
          <w:rFonts w:hint="eastAsia" w:ascii="黑体" w:hAnsi="黑体" w:eastAsia="黑体"/>
          <w:color w:val="000000"/>
          <w:sz w:val="32"/>
          <w:szCs w:val="32"/>
          <w:lang w:val="en-US" w:eastAsia="zh-CN"/>
        </w:rPr>
      </w:pPr>
      <w:bookmarkStart w:id="221" w:name="_Toc14424"/>
      <w:bookmarkStart w:id="222" w:name="_Toc22575"/>
      <w:r>
        <w:rPr>
          <w:rFonts w:hint="eastAsia" w:ascii="黑体" w:hAnsi="黑体" w:eastAsia="黑体"/>
          <w:color w:val="000000"/>
          <w:sz w:val="32"/>
          <w:szCs w:val="32"/>
          <w:lang w:val="en-US" w:eastAsia="zh-CN"/>
        </w:rPr>
        <w:t>四、相关措施建议</w:t>
      </w:r>
      <w:bookmarkEnd w:id="221"/>
      <w:bookmarkEnd w:id="22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下一步将继续做好预算与项目执行的综合分析，严格实施项目绩效目标管理，进一步完善绩效管理制度，加强预算绩效动态监控，进一步完善内部控制度。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r>
        <w:rPr>
          <w:rFonts w:hint="eastAsia" w:ascii="方正小标宋简体" w:hAnsi="宋体" w:eastAsia="方正小标宋简体" w:cs="方正小标宋简体"/>
          <w:kern w:val="2"/>
          <w:sz w:val="44"/>
          <w:szCs w:val="44"/>
          <w:lang w:val="en-US" w:eastAsia="zh-CN" w:bidi="ar"/>
        </w:rPr>
        <w:t>项目支出绩效评价报告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40" w:firstLineChars="7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en-US" w:eastAsia="zh-CN"/>
        </w:rPr>
        <w:t>档案数字化项目）</w:t>
      </w:r>
    </w:p>
    <w:p>
      <w:pPr>
        <w:pStyle w:val="2"/>
        <w:rPr>
          <w:rFonts w:hint="eastAsia"/>
          <w:lang w:val="en-US" w:eastAsia="zh-CN"/>
        </w:rPr>
      </w:pPr>
    </w:p>
    <w:p>
      <w:pPr>
        <w:snapToGrid w:val="0"/>
        <w:spacing w:line="600" w:lineRule="exact"/>
        <w:ind w:firstLine="640" w:firstLineChars="200"/>
        <w:rPr>
          <w:rFonts w:hint="eastAsia" w:ascii="黑体" w:hAnsi="黑体" w:eastAsia="黑体"/>
          <w:color w:val="000000"/>
          <w:sz w:val="32"/>
          <w:szCs w:val="32"/>
          <w:lang w:val="en-US" w:eastAsia="zh-CN"/>
        </w:rPr>
      </w:pPr>
      <w:r>
        <w:rPr>
          <w:rFonts w:hint="eastAsia" w:ascii="黑体" w:hAnsi="黑体" w:eastAsia="黑体"/>
          <w:lang w:val="en-US" w:eastAsia="zh-CN"/>
        </w:rPr>
        <w:t>一</w:t>
      </w:r>
      <w:r>
        <w:rPr>
          <w:rFonts w:hint="eastAsia" w:ascii="黑体" w:hAnsi="黑体" w:eastAsia="黑体"/>
          <w:color w:val="000000"/>
          <w:sz w:val="32"/>
          <w:szCs w:val="32"/>
          <w:lang w:val="en-US" w:eastAsia="zh-CN"/>
        </w:rPr>
        <w:t>、项目概况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（一）项目资金申报及批复情况。</w:t>
      </w:r>
      <w:r>
        <w:rPr>
          <w:rFonts w:hint="default"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val="en-US" w:eastAsia="zh-CN"/>
        </w:rPr>
        <w:t>年市纪委档案数字化项目资金于</w:t>
      </w:r>
      <w:r>
        <w:rPr>
          <w:rFonts w:hint="default"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lang w:val="en-US" w:eastAsia="zh-CN"/>
        </w:rPr>
        <w:t>年</w:t>
      </w:r>
      <w:r>
        <w:rPr>
          <w:rFonts w:hint="default"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US" w:eastAsia="zh-CN"/>
        </w:rPr>
        <w:t>月申报，共计</w:t>
      </w:r>
      <w:r>
        <w:rPr>
          <w:rFonts w:hint="default" w:ascii="仿宋_GB2312" w:hAnsi="仿宋_GB2312" w:eastAsia="仿宋_GB2312" w:cs="仿宋_GB2312"/>
          <w:color w:val="auto"/>
          <w:sz w:val="32"/>
          <w:szCs w:val="32"/>
          <w:highlight w:val="none"/>
          <w:lang w:val="en-US" w:eastAsia="zh-CN"/>
        </w:rPr>
        <w:t>79</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万元，申报后，财政于</w:t>
      </w:r>
      <w:r>
        <w:rPr>
          <w:rFonts w:hint="default"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val="en-US" w:eastAsia="zh-CN"/>
        </w:rPr>
        <w:t>年</w:t>
      </w:r>
      <w:r>
        <w:rPr>
          <w:rFonts w:hint="default"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月财政局给予了批复。申报和批复均符合预算法等相关规定。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（二）项目资金申报相符性。</w:t>
      </w:r>
      <w:r>
        <w:rPr>
          <w:rFonts w:hint="default" w:ascii="仿宋_GB2312" w:hAnsi="仿宋_GB2312" w:eastAsia="仿宋_GB2312" w:cs="仿宋_GB2312"/>
          <w:color w:val="auto"/>
          <w:sz w:val="32"/>
          <w:szCs w:val="32"/>
          <w:highlight w:val="none"/>
          <w:lang w:val="en-US" w:eastAsia="zh-CN"/>
        </w:rPr>
        <w:t>202</w:t>
      </w: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年市纪委档案数字化项目主要实施内容包括：档案整理、档案数字化扫描、条目著录、数字档案管理系统</w:t>
      </w:r>
      <w:r>
        <w:rPr>
          <w:rFonts w:hint="eastAsia" w:ascii="仿宋_GB2312" w:hAnsi="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lang w:val="en-US" w:eastAsia="zh-CN"/>
        </w:rPr>
        <w:t>等方面开展。项目的具体实施内容与申报内容相符、申报目标是合理可行的。</w:t>
      </w:r>
    </w:p>
    <w:p>
      <w:pPr>
        <w:spacing w:line="600" w:lineRule="exact"/>
        <w:ind w:firstLine="640" w:firstLineChars="200"/>
        <w:outlineLvl w:val="1"/>
        <w:rPr>
          <w:rFonts w:hint="eastAsia" w:ascii="黑体" w:hAnsi="黑体" w:eastAsia="黑体"/>
          <w:color w:val="000000"/>
          <w:sz w:val="32"/>
          <w:szCs w:val="32"/>
          <w:lang w:val="en-US" w:eastAsia="zh-CN"/>
        </w:rPr>
      </w:pPr>
      <w:bookmarkStart w:id="223" w:name="_Toc18610"/>
      <w:bookmarkStart w:id="224" w:name="_Toc16414"/>
      <w:r>
        <w:rPr>
          <w:rFonts w:hint="eastAsia" w:ascii="黑体" w:hAnsi="黑体" w:eastAsia="黑体"/>
          <w:color w:val="000000"/>
          <w:sz w:val="32"/>
          <w:szCs w:val="32"/>
          <w:lang w:val="en-US" w:eastAsia="zh-CN"/>
        </w:rPr>
        <w:t>二、绩效分析</w:t>
      </w:r>
      <w:bookmarkEnd w:id="223"/>
      <w:bookmarkEnd w:id="22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符合党中央、国务院和省、市决策部署；符合当前经济社会发展需要，政策和实际需求的吻合程度分析。可行性论证充分，规划、管理办法、指导意见等制度健全完善。项目提供的产品、服务、效益或其他目标明确细化可衡量，绩效目标设定符合实际需求，合理可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（二）项目管理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资金分配管理科学合理、规范有序</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体现突出公平性，符合财政资金改革方向，资金使用规范管理制度健全，管理过程科学规范。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cs="Times New Roman"/>
          <w:b/>
          <w:bCs/>
        </w:rPr>
        <w:t>1</w:t>
      </w:r>
      <w:r>
        <w:rPr>
          <w:rFonts w:hint="eastAsia" w:ascii="仿宋_GB2312"/>
          <w:b/>
          <w:bCs/>
        </w:rPr>
        <w:t>.资金计划及到位。</w:t>
      </w:r>
      <w:r>
        <w:rPr>
          <w:rFonts w:hint="eastAsia" w:ascii="仿宋_GB2312"/>
        </w:rPr>
        <w:t>截</w:t>
      </w:r>
      <w:r>
        <w:rPr>
          <w:rFonts w:hint="eastAsia" w:ascii="仿宋_GB2312" w:hAnsi="仿宋_GB2312" w:eastAsia="仿宋_GB2312" w:cs="仿宋_GB2312"/>
          <w:color w:val="auto"/>
          <w:sz w:val="32"/>
          <w:szCs w:val="32"/>
          <w:highlight w:val="none"/>
          <w:lang w:val="en-US" w:eastAsia="zh-CN"/>
        </w:rPr>
        <w:t>止目前，项目所有的资金均已到位，全部为市级财政拨款资金。资金到位情况与资金计划使用情况基本上一致，资金到位率</w:t>
      </w:r>
      <w:r>
        <w:rPr>
          <w:rFonts w:hint="default"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en-US" w:eastAsia="zh-CN"/>
        </w:rPr>
        <w:t>%。</w:t>
      </w:r>
    </w:p>
    <w:p>
      <w:pPr>
        <w:autoSpaceDE w:val="0"/>
        <w:spacing w:line="580" w:lineRule="atLeast"/>
        <w:ind w:firstLine="643" w:firstLineChars="200"/>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cs="Times New Roman"/>
          <w:b/>
          <w:bCs/>
          <w:lang w:val="en-US" w:eastAsia="zh-CN"/>
        </w:rPr>
        <w:t>2</w:t>
      </w:r>
      <w:r>
        <w:rPr>
          <w:rFonts w:hint="eastAsia" w:ascii="仿宋_GB2312"/>
          <w:b/>
          <w:bCs/>
          <w:lang w:val="en-US" w:eastAsia="zh-CN"/>
        </w:rPr>
        <w:t>.</w:t>
      </w:r>
      <w:r>
        <w:rPr>
          <w:rFonts w:hint="eastAsia" w:ascii="仿宋_GB2312"/>
          <w:b/>
          <w:bCs/>
        </w:rPr>
        <w:t>资金使用情况。</w:t>
      </w:r>
      <w:r>
        <w:rPr>
          <w:rFonts w:hint="default" w:ascii="仿宋_GB2312" w:hAnsi="仿宋_GB2312" w:eastAsia="仿宋_GB2312" w:cs="仿宋_GB2312"/>
          <w:color w:val="auto"/>
          <w:sz w:val="32"/>
          <w:szCs w:val="32"/>
          <w:highlight w:val="none"/>
          <w:lang w:val="en-US" w:eastAsia="zh-CN"/>
        </w:rPr>
        <w:t>202</w:t>
      </w:r>
      <w:r>
        <w:rPr>
          <w:rFonts w:hint="eastAsia" w:ascii="仿宋_GB2312" w:hAnsi="仿宋_GB2312" w:eastAsia="仿宋_GB2312" w:cs="仿宋_GB2312"/>
          <w:color w:val="auto"/>
          <w:sz w:val="32"/>
          <w:szCs w:val="32"/>
          <w:highlight w:val="none"/>
          <w:lang w:val="en-US" w:eastAsia="zh-CN"/>
        </w:rPr>
        <w:t>2年度市纪委监委档案技术服务及软件采购项目资金实际支出23.79万元，开支范围主要包括档案整理、档案数字化扫描、条目著录、数字档案管理系统等方面。所有的支出都符合相关规定，资金支出与预算相符。</w:t>
      </w:r>
    </w:p>
    <w:p>
      <w:pPr>
        <w:spacing w:line="600" w:lineRule="exact"/>
        <w:ind w:firstLine="640" w:firstLineChars="200"/>
        <w:outlineLvl w:val="1"/>
        <w:rPr>
          <w:rFonts w:hint="eastAsia" w:ascii="黑体" w:hAnsi="黑体" w:eastAsia="黑体"/>
          <w:color w:val="000000"/>
          <w:sz w:val="32"/>
          <w:szCs w:val="32"/>
          <w:lang w:val="en-US" w:eastAsia="zh-CN"/>
        </w:rPr>
      </w:pPr>
      <w:bookmarkStart w:id="225" w:name="_Toc27113"/>
      <w:bookmarkStart w:id="226" w:name="_Toc1943"/>
      <w:r>
        <w:rPr>
          <w:rFonts w:hint="eastAsia" w:ascii="黑体" w:hAnsi="黑体" w:eastAsia="黑体"/>
          <w:color w:val="000000"/>
          <w:sz w:val="32"/>
          <w:szCs w:val="32"/>
          <w:lang w:val="en-US" w:eastAsia="zh-CN"/>
        </w:rPr>
        <w:t>三、存在主要问题</w:t>
      </w:r>
      <w:bookmarkEnd w:id="225"/>
      <w:bookmarkEnd w:id="22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w:t>
      </w:r>
      <w:r>
        <w:rPr>
          <w:rFonts w:hint="default"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val="en-US" w:eastAsia="zh-CN"/>
        </w:rPr>
        <w:t>年预算执行情况来看，项目预见性不足，因为受疫情影响，项目执行率不高。</w:t>
      </w:r>
    </w:p>
    <w:p>
      <w:pPr>
        <w:spacing w:line="600" w:lineRule="exact"/>
        <w:ind w:firstLine="640" w:firstLineChars="200"/>
        <w:outlineLvl w:val="1"/>
        <w:rPr>
          <w:rFonts w:hint="eastAsia" w:ascii="黑体" w:hAnsi="黑体" w:eastAsia="黑体"/>
          <w:color w:val="000000"/>
          <w:sz w:val="32"/>
          <w:szCs w:val="32"/>
          <w:lang w:val="en-US" w:eastAsia="zh-CN"/>
        </w:rPr>
      </w:pPr>
      <w:bookmarkStart w:id="227" w:name="_Toc10834"/>
      <w:bookmarkStart w:id="228" w:name="_Toc14497"/>
      <w:r>
        <w:rPr>
          <w:rFonts w:hint="eastAsia" w:ascii="黑体" w:hAnsi="黑体" w:eastAsia="黑体"/>
          <w:color w:val="000000"/>
          <w:sz w:val="32"/>
          <w:szCs w:val="32"/>
          <w:lang w:val="en-US" w:eastAsia="zh-CN"/>
        </w:rPr>
        <w:t>四、相关措施建议</w:t>
      </w:r>
      <w:bookmarkEnd w:id="227"/>
      <w:bookmarkEnd w:id="22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er Roman" w:hAnsi="Times Newer Roman" w:eastAsia="方正小标宋简体" w:cs="Times Newer Roman"/>
          <w:sz w:val="44"/>
          <w:szCs w:val="44"/>
        </w:rPr>
      </w:pPr>
      <w:r>
        <w:rPr>
          <w:rFonts w:hint="eastAsia" w:ascii="仿宋_GB2312" w:hAnsi="仿宋_GB2312" w:eastAsia="仿宋_GB2312" w:cs="仿宋_GB2312"/>
          <w:color w:val="auto"/>
          <w:sz w:val="32"/>
          <w:szCs w:val="32"/>
          <w:highlight w:val="none"/>
          <w:lang w:val="en-US" w:eastAsia="zh-CN"/>
        </w:rPr>
        <w:t>下一步将继续做好预算与项目执行的综合分析，加强单位绩效管理工作的前瞻性、预见性，提高预算执行率。</w:t>
      </w:r>
    </w:p>
    <w:p>
      <w:pPr>
        <w:pStyle w:val="2"/>
        <w:rPr>
          <w:rFonts w:hint="default"/>
        </w:rPr>
      </w:pPr>
    </w:p>
    <w:p>
      <w:pPr>
        <w:keepNext w:val="0"/>
        <w:keepLines w:val="0"/>
        <w:widowControl w:val="0"/>
        <w:suppressLineNumbers w:val="0"/>
        <w:snapToGrid w:val="0"/>
        <w:spacing w:before="0" w:beforeAutospacing="0" w:after="0" w:afterAutospacing="0" w:line="600" w:lineRule="exact"/>
        <w:ind w:left="0" w:right="0"/>
        <w:jc w:val="center"/>
        <w:rPr>
          <w:rFonts w:hint="default" w:ascii="方正小标宋简体" w:hAnsi="宋体" w:eastAsia="方正小标宋简体" w:cs="方正小标宋简体"/>
          <w:kern w:val="2"/>
          <w:sz w:val="44"/>
          <w:szCs w:val="44"/>
          <w:lang w:val="en-US" w:eastAsia="zh-CN" w:bidi="ar"/>
        </w:rPr>
      </w:pPr>
      <w:r>
        <w:rPr>
          <w:rFonts w:hint="default" w:ascii="方正小标宋简体" w:hAnsi="宋体" w:eastAsia="方正小标宋简体" w:cs="方正小标宋简体"/>
          <w:kern w:val="2"/>
          <w:sz w:val="44"/>
          <w:szCs w:val="44"/>
          <w:lang w:val="en-US" w:eastAsia="zh-CN" w:bidi="ar"/>
        </w:rPr>
        <w:t>项目支出绩效评价报告</w:t>
      </w:r>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ind w:firstLine="640" w:firstLineChars="200"/>
        <w:textAlignment w:val="auto"/>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rPr>
        <w:t>（</w:t>
      </w:r>
      <w:r>
        <w:rPr>
          <w:rFonts w:hint="eastAsia" w:hAnsi="仿宋_GB2312" w:cs="仿宋_GB2312"/>
          <w:color w:val="000000"/>
          <w:kern w:val="0"/>
          <w:sz w:val="32"/>
          <w:szCs w:val="32"/>
          <w:lang w:val="en-US" w:eastAsia="zh-CN"/>
        </w:rPr>
        <w:t>廉政教育中心</w:t>
      </w:r>
      <w:r>
        <w:rPr>
          <w:rFonts w:hint="default" w:ascii="仿宋_GB2312" w:hAnsi="仿宋_GB2312" w:eastAsia="仿宋_GB2312" w:cs="仿宋_GB2312"/>
          <w:color w:val="000000"/>
          <w:kern w:val="0"/>
          <w:sz w:val="32"/>
          <w:szCs w:val="32"/>
          <w:lang w:val="en-US" w:eastAsia="zh-CN"/>
        </w:rPr>
        <w:t>政治生态建设</w:t>
      </w:r>
      <w:r>
        <w:rPr>
          <w:rFonts w:hint="eastAsia" w:hAnsi="仿宋_GB2312" w:cs="仿宋_GB2312"/>
          <w:color w:val="000000"/>
          <w:kern w:val="0"/>
          <w:sz w:val="32"/>
          <w:szCs w:val="32"/>
          <w:lang w:val="en-US" w:eastAsia="zh-CN"/>
        </w:rPr>
        <w:t>社会</w:t>
      </w:r>
      <w:r>
        <w:rPr>
          <w:rFonts w:hint="default" w:ascii="仿宋_GB2312" w:hAnsi="仿宋_GB2312" w:eastAsia="仿宋_GB2312" w:cs="仿宋_GB2312"/>
          <w:color w:val="000000"/>
          <w:kern w:val="0"/>
          <w:sz w:val="32"/>
          <w:szCs w:val="32"/>
          <w:lang w:val="en-US" w:eastAsia="zh-CN"/>
        </w:rPr>
        <w:t>评</w:t>
      </w:r>
      <w:r>
        <w:rPr>
          <w:rFonts w:hint="eastAsia" w:hAnsi="仿宋_GB2312" w:cs="仿宋_GB2312"/>
          <w:color w:val="000000"/>
          <w:kern w:val="0"/>
          <w:sz w:val="32"/>
          <w:szCs w:val="32"/>
          <w:lang w:val="en-US" w:eastAsia="zh-CN"/>
        </w:rPr>
        <w:t>价工作专项经费</w:t>
      </w:r>
      <w:r>
        <w:rPr>
          <w:rFonts w:hint="default" w:ascii="仿宋_GB2312" w:hAnsi="仿宋_GB2312" w:eastAsia="仿宋_GB2312" w:cs="仿宋_GB2312"/>
          <w:color w:val="000000"/>
          <w:kern w:val="0"/>
          <w:sz w:val="32"/>
          <w:szCs w:val="32"/>
        </w:rPr>
        <w:t>）</w:t>
      </w:r>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ind w:firstLine="640" w:firstLineChars="200"/>
        <w:textAlignment w:val="auto"/>
        <w:rPr>
          <w:rFonts w:hint="default" w:ascii="仿宋_GB2312" w:hAnsi="仿宋_GB2312" w:eastAsia="仿宋_GB2312" w:cs="仿宋_GB2312"/>
          <w:color w:val="000000"/>
          <w:kern w:val="0"/>
          <w:sz w:val="32"/>
          <w:szCs w:val="32"/>
        </w:rPr>
      </w:pPr>
    </w:p>
    <w:p>
      <w:pPr>
        <w:spacing w:line="600" w:lineRule="exact"/>
        <w:ind w:firstLine="640" w:firstLineChars="200"/>
        <w:outlineLvl w:val="1"/>
        <w:rPr>
          <w:rFonts w:hint="default" w:ascii="黑体" w:hAnsi="黑体" w:eastAsia="黑体"/>
          <w:color w:val="000000"/>
          <w:sz w:val="32"/>
          <w:szCs w:val="32"/>
          <w:lang w:val="en-US" w:eastAsia="zh-CN"/>
        </w:rPr>
      </w:pPr>
      <w:bookmarkStart w:id="229" w:name="_Toc31200"/>
      <w:bookmarkStart w:id="230" w:name="_Toc12751"/>
      <w:r>
        <w:rPr>
          <w:rFonts w:hint="default" w:ascii="黑体" w:hAnsi="黑体" w:eastAsia="黑体"/>
          <w:color w:val="000000"/>
          <w:sz w:val="32"/>
          <w:szCs w:val="32"/>
          <w:lang w:val="en-US" w:eastAsia="zh-CN"/>
        </w:rPr>
        <w:t>一、评价工作开展及项目情况</w:t>
      </w:r>
      <w:bookmarkEnd w:id="229"/>
      <w:bookmarkEnd w:id="23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为推动各级认真履行管党治党政治责任，纵深推进全面从严治党，巩固发展风清气正的良好政治生态，持续提升群众满意度获得感，按照市党廉办</w:t>
      </w:r>
      <w:r>
        <w:rPr>
          <w:rFonts w:hint="eastAsia" w:ascii="仿宋_GB2312" w:hAnsi="仿宋_GB2312" w:eastAsia="仿宋_GB2312" w:cs="仿宋_GB2312"/>
          <w:color w:val="auto"/>
          <w:sz w:val="32"/>
          <w:szCs w:val="32"/>
          <w:highlight w:val="none"/>
          <w:lang w:val="en-US" w:eastAsia="zh-CN"/>
        </w:rPr>
        <w:t>有关工作</w:t>
      </w:r>
      <w:r>
        <w:rPr>
          <w:rFonts w:hint="default" w:ascii="仿宋_GB2312" w:hAnsi="仿宋_GB2312" w:eastAsia="仿宋_GB2312" w:cs="仿宋_GB2312"/>
          <w:color w:val="auto"/>
          <w:sz w:val="32"/>
          <w:szCs w:val="32"/>
          <w:highlight w:val="none"/>
          <w:lang w:val="en-US" w:eastAsia="zh-CN"/>
        </w:rPr>
        <w:t>要求，在全市开展政治生态建设和营商环境调研第三方测评，对73个市级部门（单位）开展7个方面（履行主体责任、依法履职、为民服务、清正廉洁、改进作风</w:t>
      </w:r>
      <w:r>
        <w:rPr>
          <w:rFonts w:hint="eastAsia" w:ascii="仿宋_GB2312" w:hAnsi="仿宋_GB2312" w:eastAsia="仿宋_GB2312" w:cs="仿宋_GB2312"/>
          <w:color w:val="auto"/>
          <w:sz w:val="32"/>
          <w:szCs w:val="32"/>
          <w:highlight w:val="none"/>
          <w:lang w:val="en-US" w:eastAsia="zh-CN"/>
        </w:rPr>
        <w:t>、营商环境</w:t>
      </w:r>
      <w:r>
        <w:rPr>
          <w:rFonts w:hint="default" w:ascii="仿宋_GB2312" w:hAnsi="仿宋_GB2312" w:eastAsia="仿宋_GB2312" w:cs="仿宋_GB2312"/>
          <w:color w:val="auto"/>
          <w:sz w:val="32"/>
          <w:szCs w:val="32"/>
          <w:highlight w:val="none"/>
          <w:lang w:val="en-US" w:eastAsia="zh-CN"/>
        </w:rPr>
        <w:t>和接受监督）、91个乡镇（街道）开展</w:t>
      </w:r>
      <w:r>
        <w:rPr>
          <w:rFonts w:hint="eastAsia" w:ascii="仿宋_GB2312" w:hAnsi="仿宋_GB2312" w:eastAsia="仿宋_GB2312" w:cs="仿宋_GB2312"/>
          <w:color w:val="auto"/>
          <w:sz w:val="32"/>
          <w:szCs w:val="32"/>
          <w:highlight w:val="none"/>
          <w:lang w:val="en-US" w:eastAsia="zh-CN"/>
        </w:rPr>
        <w:t>9</w:t>
      </w:r>
      <w:r>
        <w:rPr>
          <w:rFonts w:hint="default" w:ascii="仿宋_GB2312" w:hAnsi="仿宋_GB2312" w:eastAsia="仿宋_GB2312" w:cs="仿宋_GB2312"/>
          <w:color w:val="auto"/>
          <w:sz w:val="32"/>
          <w:szCs w:val="32"/>
          <w:highlight w:val="none"/>
          <w:lang w:val="en-US" w:eastAsia="zh-CN"/>
        </w:rPr>
        <w:t>个方面（政治生态建设成效、惩治贪污腐败力度、人民群众满意情况、为群众办实事成效、党员干部清正廉洁、选人用人风气清正、当地干部作风情况、</w:t>
      </w:r>
      <w:r>
        <w:rPr>
          <w:rFonts w:hint="eastAsia" w:ascii="仿宋_GB2312" w:hAnsi="仿宋_GB2312" w:eastAsia="仿宋_GB2312" w:cs="仿宋_GB2312"/>
          <w:color w:val="auto"/>
          <w:sz w:val="32"/>
          <w:szCs w:val="32"/>
          <w:highlight w:val="none"/>
          <w:lang w:val="en-US" w:eastAsia="zh-CN"/>
        </w:rPr>
        <w:t>优化营商环境情况、</w:t>
      </w:r>
      <w:r>
        <w:rPr>
          <w:rFonts w:hint="default" w:ascii="仿宋_GB2312" w:hAnsi="仿宋_GB2312" w:eastAsia="仿宋_GB2312" w:cs="仿宋_GB2312"/>
          <w:color w:val="auto"/>
          <w:sz w:val="32"/>
          <w:szCs w:val="32"/>
          <w:highlight w:val="none"/>
          <w:lang w:val="en-US" w:eastAsia="zh-CN"/>
        </w:rPr>
        <w:t>纪委监委履责情况）指标的满意度测评，测评结果纳入对高新区、各县（区）、市级部门（单位）202</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年度党风廉政建设责任制考核内容。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项目实施时间为202</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8</w:t>
      </w:r>
      <w:r>
        <w:rPr>
          <w:rFonts w:hint="default" w:ascii="仿宋_GB2312" w:hAnsi="仿宋_GB2312" w:eastAsia="仿宋_GB2312" w:cs="仿宋_GB2312"/>
          <w:color w:val="auto"/>
          <w:sz w:val="32"/>
          <w:szCs w:val="32"/>
          <w:highlight w:val="none"/>
          <w:lang w:val="en-US" w:eastAsia="zh-CN"/>
        </w:rPr>
        <w:t>月至202</w:t>
      </w: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年1月，按照抽样调查方法抽取电话和短信访问调查有效样本共11690个，其中市级部门（单位）5840个，乡镇（街道）5850个，共需经费20万元。</w:t>
      </w:r>
    </w:p>
    <w:p>
      <w:pPr>
        <w:spacing w:line="600" w:lineRule="exact"/>
        <w:ind w:firstLine="640" w:firstLineChars="200"/>
        <w:outlineLvl w:val="1"/>
        <w:rPr>
          <w:rFonts w:hint="default" w:ascii="黑体" w:hAnsi="黑体" w:eastAsia="黑体"/>
          <w:color w:val="000000"/>
          <w:sz w:val="32"/>
          <w:szCs w:val="32"/>
          <w:lang w:val="en-US" w:eastAsia="zh-CN"/>
        </w:rPr>
      </w:pPr>
      <w:bookmarkStart w:id="231" w:name="_Toc25209"/>
      <w:bookmarkStart w:id="232" w:name="_Toc14562"/>
      <w:r>
        <w:rPr>
          <w:rFonts w:hint="default" w:ascii="黑体" w:hAnsi="黑体" w:eastAsia="黑体"/>
          <w:color w:val="000000"/>
          <w:sz w:val="32"/>
          <w:szCs w:val="32"/>
          <w:lang w:val="en-US" w:eastAsia="zh-CN"/>
        </w:rPr>
        <w:t>二、评价结论及绩效分析</w:t>
      </w:r>
      <w:bookmarkEnd w:id="231"/>
      <w:bookmarkEnd w:id="232"/>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ind w:firstLine="643" w:firstLineChars="200"/>
        <w:textAlignment w:val="auto"/>
        <w:rPr>
          <w:rFonts w:hint="default" w:ascii="仿宋_GB2312" w:hAnsi="仿宋_GB2312" w:eastAsia="仿宋_GB2312" w:cs="仿宋_GB2312"/>
          <w:b/>
          <w:bCs/>
          <w:color w:val="000000"/>
          <w:kern w:val="0"/>
          <w:sz w:val="32"/>
          <w:szCs w:val="32"/>
        </w:rPr>
      </w:pPr>
      <w:r>
        <w:rPr>
          <w:rFonts w:hint="default" w:ascii="仿宋_GB2312" w:hAnsi="仿宋_GB2312" w:eastAsia="仿宋_GB2312" w:cs="仿宋_GB2312"/>
          <w:b/>
          <w:bCs/>
          <w:color w:val="000000"/>
          <w:kern w:val="0"/>
          <w:sz w:val="32"/>
          <w:szCs w:val="32"/>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项目自评</w:t>
      </w:r>
      <w:r>
        <w:rPr>
          <w:rFonts w:hint="eastAsia" w:ascii="仿宋_GB2312" w:hAnsi="仿宋_GB2312" w:eastAsia="仿宋_GB2312" w:cs="仿宋_GB2312"/>
          <w:color w:val="auto"/>
          <w:sz w:val="32"/>
          <w:szCs w:val="32"/>
          <w:highlight w:val="none"/>
          <w:lang w:val="en-US" w:eastAsia="zh-CN"/>
        </w:rPr>
        <w:t>100</w:t>
      </w:r>
      <w:r>
        <w:rPr>
          <w:rFonts w:hint="default" w:ascii="仿宋_GB2312" w:hAnsi="仿宋_GB2312" w:eastAsia="仿宋_GB2312" w:cs="仿宋_GB2312"/>
          <w:color w:val="auto"/>
          <w:sz w:val="32"/>
          <w:szCs w:val="32"/>
          <w:highlight w:val="none"/>
          <w:lang w:val="en-US" w:eastAsia="zh-CN"/>
        </w:rPr>
        <w:t>分，主要结论</w:t>
      </w:r>
      <w:r>
        <w:rPr>
          <w:rFonts w:hint="eastAsia" w:ascii="仿宋_GB2312" w:hAnsi="仿宋_GB2312" w:eastAsia="仿宋_GB2312" w:cs="仿宋_GB2312"/>
          <w:color w:val="auto"/>
          <w:sz w:val="32"/>
          <w:szCs w:val="32"/>
          <w:highlight w:val="none"/>
          <w:lang w:val="en-US" w:eastAsia="zh-CN"/>
        </w:rPr>
        <w:t>是进一步</w:t>
      </w:r>
      <w:r>
        <w:rPr>
          <w:rFonts w:hint="default" w:ascii="仿宋_GB2312" w:hAnsi="仿宋_GB2312" w:eastAsia="仿宋_GB2312" w:cs="仿宋_GB2312"/>
          <w:color w:val="auto"/>
          <w:sz w:val="32"/>
          <w:szCs w:val="32"/>
          <w:highlight w:val="none"/>
          <w:lang w:val="en-US" w:eastAsia="zh-CN"/>
        </w:rPr>
        <w:t>推动全市各级各部门认真履行管党治党政治责任，不断提高群众的满意度、获得感、幸福感。</w:t>
      </w:r>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ind w:firstLine="643" w:firstLineChars="200"/>
        <w:textAlignment w:val="auto"/>
        <w:rPr>
          <w:rFonts w:hint="default" w:ascii="仿宋_GB2312" w:hAnsi="仿宋_GB2312" w:eastAsia="仿宋_GB2312" w:cs="仿宋_GB2312"/>
          <w:b/>
          <w:bCs/>
          <w:color w:val="000000"/>
          <w:kern w:val="0"/>
          <w:sz w:val="32"/>
          <w:szCs w:val="32"/>
        </w:rPr>
      </w:pPr>
      <w:r>
        <w:rPr>
          <w:rFonts w:hint="default" w:ascii="仿宋_GB2312" w:hAnsi="仿宋_GB2312" w:eastAsia="仿宋_GB2312" w:cs="仿宋_GB2312"/>
          <w:b/>
          <w:bCs/>
          <w:color w:val="000000"/>
          <w:kern w:val="0"/>
          <w:sz w:val="32"/>
          <w:szCs w:val="32"/>
        </w:rPr>
        <w:t>（二）绩效分析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深入开展政治生态建设和营商环境调研第三方测评，收集掌握群众最期盼解决的政治生态方面的问题和改进政治生态建设工作的意见和建议，推动巩固发展良好政治生态</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项目资金分配结果与规划计划一致，按规定及时分配专项预算资金，项目资金使用符合相关的财务管理制度规定，项目实施符合相关管理制度规定。</w:t>
      </w:r>
      <w:r>
        <w:rPr>
          <w:rFonts w:hint="default" w:ascii="仿宋_GB2312" w:hAnsi="仿宋_GB2312" w:eastAsia="仿宋_GB2312" w:cs="仿宋_GB2312"/>
          <w:color w:val="auto"/>
          <w:sz w:val="32"/>
          <w:szCs w:val="32"/>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ab/>
      </w:r>
      <w:r>
        <w:rPr>
          <w:rFonts w:hint="default" w:ascii="仿宋_GB2312" w:hAnsi="仿宋_GB2312" w:eastAsia="仿宋_GB2312" w:cs="仿宋_GB2312"/>
          <w:b/>
          <w:bCs/>
          <w:color w:val="auto"/>
          <w:sz w:val="32"/>
          <w:szCs w:val="32"/>
          <w:highlight w:val="none"/>
          <w:lang w:val="en-US" w:eastAsia="zh-CN"/>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w:t>
      </w:r>
      <w:r>
        <w:rPr>
          <w:rFonts w:hint="default"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方案要求的工作任务，有序督促</w:t>
      </w:r>
      <w:r>
        <w:rPr>
          <w:rFonts w:hint="default" w:ascii="仿宋_GB2312" w:hAnsi="仿宋_GB2312" w:eastAsia="仿宋_GB2312" w:cs="仿宋_GB2312"/>
          <w:color w:val="auto"/>
          <w:sz w:val="32"/>
          <w:szCs w:val="32"/>
          <w:highlight w:val="none"/>
          <w:lang w:val="en-US" w:eastAsia="zh-CN"/>
        </w:rPr>
        <w:t>第三方机构开展测评</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每半月收集</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汇总</w:t>
      </w:r>
      <w:r>
        <w:rPr>
          <w:rFonts w:hint="eastAsia" w:ascii="仿宋_GB2312" w:hAnsi="仿宋_GB2312" w:eastAsia="仿宋_GB2312" w:cs="仿宋_GB2312"/>
          <w:color w:val="auto"/>
          <w:sz w:val="32"/>
          <w:szCs w:val="32"/>
          <w:highlight w:val="none"/>
          <w:lang w:val="en-US" w:eastAsia="zh-CN"/>
        </w:rPr>
        <w:t>、反馈</w:t>
      </w:r>
      <w:r>
        <w:rPr>
          <w:rFonts w:hint="default" w:ascii="仿宋_GB2312" w:hAnsi="仿宋_GB2312" w:eastAsia="仿宋_GB2312" w:cs="仿宋_GB2312"/>
          <w:color w:val="auto"/>
          <w:sz w:val="32"/>
          <w:szCs w:val="32"/>
          <w:highlight w:val="none"/>
          <w:lang w:val="en-US" w:eastAsia="zh-CN"/>
        </w:rPr>
        <w:t>群众意见建议</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市党廉办及时整理问题和意见建议，分类分层督促市级部门（单位）、县（区）限期整改</w:t>
      </w:r>
      <w:r>
        <w:rPr>
          <w:rFonts w:hint="eastAsia" w:ascii="仿宋_GB2312" w:hAnsi="仿宋_GB2312" w:eastAsia="仿宋_GB2312" w:cs="仿宋_GB2312"/>
          <w:color w:val="auto"/>
          <w:sz w:val="32"/>
          <w:szCs w:val="32"/>
          <w:highlight w:val="none"/>
          <w:lang w:val="en-US" w:eastAsia="zh-CN"/>
        </w:rPr>
        <w:t>，同时做好</w:t>
      </w:r>
      <w:r>
        <w:rPr>
          <w:rFonts w:hint="default" w:ascii="仿宋_GB2312" w:hAnsi="仿宋_GB2312" w:eastAsia="仿宋_GB2312" w:cs="仿宋_GB2312"/>
          <w:color w:val="auto"/>
          <w:sz w:val="32"/>
          <w:szCs w:val="32"/>
          <w:highlight w:val="none"/>
          <w:lang w:val="en-US" w:eastAsia="zh-CN"/>
        </w:rPr>
        <w:t>整改情况公开和对群众的解释沟通工作。</w:t>
      </w:r>
    </w:p>
    <w:p>
      <w:pPr>
        <w:spacing w:line="600" w:lineRule="exact"/>
        <w:ind w:firstLine="640" w:firstLineChars="200"/>
        <w:outlineLvl w:val="1"/>
        <w:rPr>
          <w:rFonts w:hint="default" w:ascii="黑体" w:hAnsi="黑体" w:eastAsia="黑体"/>
          <w:color w:val="000000"/>
          <w:sz w:val="32"/>
          <w:szCs w:val="32"/>
          <w:lang w:val="en-US" w:eastAsia="zh-CN"/>
        </w:rPr>
      </w:pPr>
      <w:bookmarkStart w:id="233" w:name="_Toc4817"/>
      <w:bookmarkStart w:id="234" w:name="_Toc30856"/>
      <w:r>
        <w:rPr>
          <w:rFonts w:hint="eastAsia" w:ascii="黑体" w:hAnsi="黑体" w:eastAsia="黑体"/>
          <w:color w:val="000000"/>
          <w:sz w:val="32"/>
          <w:szCs w:val="32"/>
          <w:lang w:val="en-US" w:eastAsia="zh-CN"/>
        </w:rPr>
        <w:t>三、</w:t>
      </w:r>
      <w:r>
        <w:rPr>
          <w:rFonts w:hint="default" w:ascii="黑体" w:hAnsi="黑体" w:eastAsia="黑体"/>
          <w:color w:val="000000"/>
          <w:sz w:val="32"/>
          <w:szCs w:val="32"/>
          <w:lang w:val="en-US" w:eastAsia="zh-CN"/>
        </w:rPr>
        <w:t>存在主要问题</w:t>
      </w:r>
      <w:bookmarkEnd w:id="233"/>
      <w:bookmarkEnd w:id="23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无</w:t>
      </w:r>
      <w:r>
        <w:rPr>
          <w:rFonts w:hint="default" w:ascii="仿宋_GB2312" w:hAnsi="仿宋_GB2312" w:eastAsia="仿宋_GB2312" w:cs="仿宋_GB2312"/>
          <w:color w:val="auto"/>
          <w:sz w:val="32"/>
          <w:szCs w:val="32"/>
          <w:highlight w:val="none"/>
          <w:lang w:val="en-US" w:eastAsia="zh-CN"/>
        </w:rPr>
        <w:t>。</w:t>
      </w:r>
    </w:p>
    <w:p>
      <w:pPr>
        <w:spacing w:line="600" w:lineRule="exact"/>
        <w:ind w:firstLine="640" w:firstLineChars="200"/>
        <w:outlineLvl w:val="1"/>
        <w:rPr>
          <w:rFonts w:hint="default" w:ascii="黑体" w:hAnsi="黑体" w:eastAsia="黑体"/>
          <w:color w:val="000000"/>
          <w:sz w:val="32"/>
          <w:szCs w:val="32"/>
          <w:lang w:val="en-US" w:eastAsia="zh-CN"/>
        </w:rPr>
      </w:pPr>
      <w:bookmarkStart w:id="235" w:name="_Toc1505"/>
      <w:bookmarkStart w:id="236" w:name="_Toc8849"/>
      <w:r>
        <w:rPr>
          <w:rFonts w:hint="default" w:ascii="黑体" w:hAnsi="黑体" w:eastAsia="黑体"/>
          <w:color w:val="000000"/>
          <w:sz w:val="32"/>
          <w:szCs w:val="32"/>
          <w:lang w:val="en-US" w:eastAsia="zh-CN"/>
        </w:rPr>
        <w:t>四、相关措施建议</w:t>
      </w:r>
      <w:bookmarkEnd w:id="235"/>
      <w:bookmarkEnd w:id="23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无</w:t>
      </w:r>
      <w:r>
        <w:rPr>
          <w:rFonts w:hint="default" w:ascii="仿宋_GB2312" w:hAnsi="仿宋_GB2312" w:eastAsia="仿宋_GB2312" w:cs="仿宋_GB2312"/>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textAlignment w:val="auto"/>
        <w:rPr>
          <w:rFonts w:hint="default" w:ascii="仿宋_GB2312" w:hAnsi="仿宋_GB2312" w:eastAsia="仿宋_GB2312" w:cs="仿宋_GB2312"/>
          <w:color w:val="000000"/>
          <w:kern w:val="0"/>
          <w:sz w:val="32"/>
          <w:szCs w:val="32"/>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r>
        <w:rPr>
          <w:rFonts w:hint="eastAsia" w:ascii="方正小标宋简体" w:hAnsi="宋体" w:eastAsia="方正小标宋简体" w:cs="方正小标宋简体"/>
          <w:kern w:val="2"/>
          <w:sz w:val="44"/>
          <w:szCs w:val="44"/>
          <w:lang w:val="en-US" w:eastAsia="zh-CN" w:bidi="ar"/>
        </w:rPr>
        <w:t>项目支出绩效评价报告</w:t>
      </w:r>
    </w:p>
    <w:p>
      <w:pPr>
        <w:snapToGrid w:val="0"/>
        <w:spacing w:line="600" w:lineRule="exact"/>
        <w:jc w:val="center"/>
        <w:rPr>
          <w:rFonts w:hint="eastAsia" w:hAnsi="宋体"/>
        </w:rPr>
      </w:pPr>
      <w:r>
        <w:rPr>
          <w:rFonts w:hint="eastAsia" w:ascii="仿宋_GB2312" w:hAnsi="宋体"/>
        </w:rPr>
        <w:t>（</w:t>
      </w:r>
      <w:r>
        <w:rPr>
          <w:rFonts w:hint="eastAsia" w:hAnsi="宋体"/>
        </w:rPr>
        <w:t>市纪委办案业务用房建设项目</w:t>
      </w:r>
      <w:r>
        <w:rPr>
          <w:rFonts w:hint="eastAsia" w:ascii="仿宋_GB2312" w:hAnsi="宋体"/>
        </w:rPr>
        <w:t>）</w:t>
      </w:r>
    </w:p>
    <w:p>
      <w:pPr>
        <w:snapToGrid w:val="0"/>
        <w:spacing w:line="600" w:lineRule="exact"/>
        <w:ind w:firstLine="643" w:firstLineChars="200"/>
        <w:rPr>
          <w:rFonts w:hint="eastAsia" w:ascii="宋体" w:hAnsi="宋体" w:cs="宋体"/>
          <w:b/>
          <w:bCs/>
        </w:rPr>
      </w:pPr>
      <w:r>
        <w:rPr>
          <w:rFonts w:hint="eastAsia" w:ascii="宋体" w:hAnsi="宋体" w:cs="宋体"/>
          <w:b/>
          <w:bCs/>
        </w:rPr>
        <w:t xml:space="preserve"> </w:t>
      </w:r>
    </w:p>
    <w:p>
      <w:pPr>
        <w:spacing w:line="600" w:lineRule="exact"/>
        <w:ind w:firstLine="640" w:firstLineChars="200"/>
        <w:outlineLvl w:val="1"/>
        <w:rPr>
          <w:rFonts w:hint="eastAsia" w:ascii="黑体" w:hAnsi="黑体" w:eastAsia="黑体"/>
          <w:color w:val="000000"/>
          <w:sz w:val="32"/>
          <w:szCs w:val="32"/>
          <w:lang w:val="en-US" w:eastAsia="zh-CN"/>
        </w:rPr>
      </w:pPr>
      <w:bookmarkStart w:id="237" w:name="_Toc13141"/>
      <w:bookmarkStart w:id="238" w:name="_Toc22582"/>
      <w:r>
        <w:rPr>
          <w:rFonts w:hint="eastAsia" w:ascii="黑体" w:hAnsi="黑体" w:eastAsia="黑体"/>
          <w:color w:val="000000"/>
          <w:sz w:val="32"/>
          <w:szCs w:val="32"/>
          <w:lang w:val="en-US" w:eastAsia="zh-CN"/>
        </w:rPr>
        <w:t>一、评价工作开展及项目情况</w:t>
      </w:r>
      <w:bookmarkEnd w:id="237"/>
      <w:bookmarkEnd w:id="23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1.选点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根据项目评价实施方案，选择办案核心楼、综合服务楼、住宿楼及廉政教育楼四个点进行评价。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通过项目的产出、效益、满意度指标进行客观、公正地评价，从项目决策、项目管理、项目绩效三个方面制定评价指标体系。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按照相关文件要求和领导的批示精神，通过建设市纪委办案业务用房审查调查区、廉政教育区、后勤保障区域，提升了市纪检监察安全办案的硬件保障水平，满足全市纪检监察机关查办违纪违法案件的需要</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打造廉政教育展厅，进一步营造风清气正的社会环境。根据纪委办案业务施工合同约定缺陷责任期为24个月，该建设项目于</w:t>
      </w:r>
      <w:r>
        <w:rPr>
          <w:rFonts w:hint="default" w:ascii="仿宋_GB2312" w:hAnsi="仿宋_GB2312" w:eastAsia="仿宋_GB2312" w:cs="仿宋_GB2312"/>
          <w:color w:val="auto"/>
          <w:sz w:val="32"/>
          <w:szCs w:val="32"/>
          <w:highlight w:val="none"/>
          <w:lang w:val="en-US" w:eastAsia="zh-CN"/>
        </w:rPr>
        <w:t>2019</w:t>
      </w:r>
      <w:r>
        <w:rPr>
          <w:rFonts w:hint="eastAsia" w:ascii="仿宋_GB2312" w:hAnsi="仿宋_GB2312" w:eastAsia="仿宋_GB2312" w:cs="仿宋_GB2312"/>
          <w:color w:val="auto"/>
          <w:sz w:val="32"/>
          <w:szCs w:val="32"/>
          <w:highlight w:val="none"/>
          <w:lang w:val="en-US" w:eastAsia="zh-CN"/>
        </w:rPr>
        <w:t>年4月5日缺陷责任期满，缺陷责任期终止后，该工程质保金应予以支付。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3.评价方法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绩效评价采用的方法是指标评分法和实地调查法。根据《自贡市财政局关于开展2023年财政支出绩效评价工作的通知》（自财绩〔2023〕8号）文件中要求，结合单位特点和调研结果完善《单位整体支出绩效评价指标体系》，通过指标得分分析，以打分的方式对单位整体支出情况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4.基础数据表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本项目</w:t>
      </w:r>
      <w:r>
        <w:rPr>
          <w:rFonts w:hint="eastAsia" w:ascii="仿宋_GB2312" w:hAnsi="仿宋_GB2312" w:eastAsia="仿宋_GB2312" w:cs="仿宋_GB2312"/>
          <w:color w:val="auto"/>
          <w:sz w:val="32"/>
          <w:szCs w:val="32"/>
          <w:highlight w:val="none"/>
          <w:lang w:val="en-US" w:eastAsia="zh-CN"/>
        </w:rPr>
        <w:t>总支出为277.12万元，</w:t>
      </w:r>
      <w:r>
        <w:rPr>
          <w:rFonts w:hint="eastAsia" w:ascii="仿宋_GB2312" w:hAnsi="仿宋_GB2312" w:eastAsia="仿宋_GB2312" w:cs="仿宋_GB2312"/>
          <w:color w:val="auto"/>
          <w:sz w:val="32"/>
          <w:szCs w:val="32"/>
          <w:highlight w:val="none"/>
          <w:lang w:val="zh-CN" w:eastAsia="zh-CN"/>
        </w:rPr>
        <w:t>主要用于拨付</w:t>
      </w:r>
      <w:r>
        <w:rPr>
          <w:rFonts w:hint="eastAsia" w:ascii="仿宋_GB2312" w:hAnsi="仿宋_GB2312" w:eastAsia="仿宋_GB2312" w:cs="仿宋_GB2312"/>
          <w:color w:val="auto"/>
          <w:sz w:val="32"/>
          <w:szCs w:val="32"/>
          <w:highlight w:val="none"/>
          <w:lang w:val="en-US" w:eastAsia="zh-CN"/>
        </w:rPr>
        <w:t>市纪委办案业务用房工程质保金</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zh-CN" w:eastAsia="zh-CN"/>
        </w:rPr>
        <w:t>项目经费支出均通过</w:t>
      </w:r>
      <w:r>
        <w:rPr>
          <w:rFonts w:hint="eastAsia" w:ascii="仿宋_GB2312" w:hAnsi="仿宋_GB2312" w:cs="仿宋_GB2312"/>
          <w:color w:val="auto"/>
          <w:sz w:val="32"/>
          <w:szCs w:val="32"/>
          <w:highlight w:val="none"/>
          <w:lang w:val="en-US" w:eastAsia="zh-CN"/>
        </w:rPr>
        <w:t>正规财务</w:t>
      </w:r>
      <w:r>
        <w:rPr>
          <w:rFonts w:hint="eastAsia" w:ascii="仿宋_GB2312" w:hAnsi="仿宋_GB2312" w:eastAsia="仿宋_GB2312" w:cs="仿宋_GB2312"/>
          <w:color w:val="auto"/>
          <w:sz w:val="32"/>
          <w:szCs w:val="32"/>
          <w:highlight w:val="none"/>
          <w:lang w:val="zh-CN" w:eastAsia="zh-CN"/>
        </w:rPr>
        <w:t>手续进行资金拨付，项目实际支出与项目预算用途相符。</w:t>
      </w:r>
    </w:p>
    <w:p>
      <w:pPr>
        <w:spacing w:line="600" w:lineRule="exact"/>
        <w:ind w:firstLine="640" w:firstLineChars="200"/>
        <w:outlineLvl w:val="1"/>
        <w:rPr>
          <w:rFonts w:hint="eastAsia" w:ascii="黑体" w:hAnsi="黑体" w:eastAsia="黑体"/>
          <w:color w:val="000000"/>
          <w:sz w:val="32"/>
          <w:szCs w:val="32"/>
          <w:lang w:val="en-US" w:eastAsia="zh-CN"/>
        </w:rPr>
      </w:pPr>
      <w:bookmarkStart w:id="239" w:name="_Toc14060"/>
      <w:bookmarkStart w:id="240" w:name="_Toc30538"/>
      <w:r>
        <w:rPr>
          <w:rFonts w:hint="eastAsia" w:ascii="黑体" w:hAnsi="黑体" w:eastAsia="黑体"/>
          <w:color w:val="000000"/>
          <w:sz w:val="32"/>
          <w:szCs w:val="32"/>
          <w:lang w:val="en-US" w:eastAsia="zh-CN"/>
        </w:rPr>
        <w:t>二、评价结论及绩效分析</w:t>
      </w:r>
      <w:bookmarkEnd w:id="239"/>
      <w:bookmarkEnd w:id="24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评分结果自评满分，主要结论为更好地对全市纪检监察审查调查案件提供有力的硬件保障。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该项目经自贡市发展和改革委员会《关于自贡市纪委办案业务用房项目建议书的批复》（自发改发[2015]377号）同意立项，2016年3月，经公开招标确定了施工单位，该项目已于2017年4年完成竣工验收，根据施工合同约定缺陷责任期为24个月，目前该项目缺陷责任期满，拨付该项目质保金。绩效目标根据数量、可持续发展、服务对象满意度等指标细化设置了开展教育宣传活动次数、投资总额、修建面积使用年限、满意率等，符合实际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项目主要实施内容为市纪委办案业务用房缺陷责任金，根据施工合同，该项目缺陷责任期已满，工程质保金予以支付。2022年度实际支出为277.12万元，主要用于拨付市纪委办案业务用房质保金。</w:t>
      </w:r>
      <w:r>
        <w:rPr>
          <w:rFonts w:hint="eastAsia" w:ascii="仿宋_GB2312" w:hAnsi="仿宋_GB2312" w:eastAsia="仿宋_GB2312" w:cs="仿宋_GB2312"/>
          <w:color w:val="auto"/>
          <w:sz w:val="32"/>
          <w:szCs w:val="32"/>
          <w:highlight w:val="none"/>
          <w:lang w:val="zh-CN" w:eastAsia="zh-CN"/>
        </w:rPr>
        <w:t>通过相关报账手续进行资金拨付，</w:t>
      </w:r>
      <w:r>
        <w:rPr>
          <w:rFonts w:hint="eastAsia" w:ascii="仿宋_GB2312" w:hAnsi="仿宋_GB2312" w:eastAsia="仿宋_GB2312" w:cs="仿宋_GB2312"/>
          <w:color w:val="auto"/>
          <w:sz w:val="32"/>
          <w:szCs w:val="32"/>
          <w:highlight w:val="none"/>
          <w:lang w:val="en-US" w:eastAsia="zh-CN"/>
        </w:rPr>
        <w:t>由廉政教育中心经办工作人员负责核对签字，再由廉政教育中心主任审核签字，最后由分管廉政教育中心的委机关领导和分管财务的委机关领导审签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。所有的程序均按照财务管理制度执行，并层层把关严格监管。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办案业务用房建设项目主要是为市纪委审查调查提供有力的硬件保障，为党风廉政建设提供了反腐倡廉的教育阵地。项目投资总额达9336万元，修建面积13300平米，使用年限超过10年，自投入使用以来，共接待了34500人次廉政教育参观学习，服务对象满意度超过95%。</w:t>
      </w:r>
    </w:p>
    <w:p>
      <w:pPr>
        <w:spacing w:line="600" w:lineRule="exact"/>
        <w:ind w:firstLine="640" w:firstLineChars="200"/>
        <w:outlineLvl w:val="1"/>
        <w:rPr>
          <w:rFonts w:hint="eastAsia" w:ascii="黑体" w:hAnsi="黑体" w:eastAsia="黑体"/>
          <w:color w:val="000000"/>
          <w:sz w:val="32"/>
          <w:szCs w:val="32"/>
          <w:lang w:val="en-US" w:eastAsia="zh-CN"/>
        </w:rPr>
      </w:pPr>
      <w:bookmarkStart w:id="241" w:name="_Toc2120"/>
      <w:bookmarkStart w:id="242" w:name="_Toc26802"/>
      <w:r>
        <w:rPr>
          <w:rFonts w:hint="eastAsia" w:ascii="黑体" w:hAnsi="黑体" w:eastAsia="黑体"/>
          <w:color w:val="000000"/>
          <w:sz w:val="32"/>
          <w:szCs w:val="32"/>
          <w:lang w:val="en-US" w:eastAsia="zh-CN"/>
        </w:rPr>
        <w:t>三、存在主要问题</w:t>
      </w:r>
      <w:bookmarkEnd w:id="241"/>
      <w:bookmarkEnd w:id="24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项目修建时，由于工期较短，部分区域有漏水、沉降现象。</w:t>
      </w:r>
    </w:p>
    <w:p>
      <w:pPr>
        <w:spacing w:line="600" w:lineRule="exact"/>
        <w:ind w:firstLine="640" w:firstLineChars="200"/>
        <w:outlineLvl w:val="1"/>
        <w:rPr>
          <w:rFonts w:hint="eastAsia" w:ascii="黑体" w:hAnsi="黑体" w:eastAsia="黑体"/>
          <w:color w:val="000000"/>
          <w:sz w:val="32"/>
          <w:szCs w:val="32"/>
          <w:lang w:val="en-US" w:eastAsia="zh-CN"/>
        </w:rPr>
      </w:pPr>
      <w:bookmarkStart w:id="243" w:name="_Toc14666"/>
      <w:bookmarkStart w:id="244" w:name="_Toc17201"/>
      <w:r>
        <w:rPr>
          <w:rFonts w:hint="eastAsia" w:ascii="黑体" w:hAnsi="黑体" w:eastAsia="黑体"/>
          <w:color w:val="000000"/>
          <w:sz w:val="32"/>
          <w:szCs w:val="32"/>
          <w:lang w:val="en-US" w:eastAsia="zh-CN"/>
        </w:rPr>
        <w:t>四、相关措施建议</w:t>
      </w:r>
      <w:bookmarkEnd w:id="243"/>
      <w:bookmarkEnd w:id="244"/>
    </w:p>
    <w:p>
      <w:pPr>
        <w:pStyle w:val="7"/>
        <w:ind w:firstLine="640"/>
        <w:rPr>
          <w:rFonts w:hint="eastAsia" w:ascii="Times New Roman" w:hAnsi="Times New Roman" w:eastAsia="仿宋_GB2312" w:cs="Times New Roman"/>
          <w:kern w:val="2"/>
          <w:sz w:val="32"/>
          <w:szCs w:val="32"/>
          <w:lang w:val="en-US" w:eastAsia="zh-CN" w:bidi="ar-SA"/>
        </w:rPr>
      </w:pPr>
      <w:r>
        <w:rPr>
          <w:rFonts w:hint="eastAsia" w:ascii="Times New Roman" w:cs="Times New Roman"/>
          <w:kern w:val="2"/>
          <w:sz w:val="32"/>
          <w:szCs w:val="32"/>
          <w:lang w:val="en-US" w:eastAsia="zh-CN" w:bidi="ar-SA"/>
        </w:rPr>
        <w:t>建议今后经过市场调研，指定</w:t>
      </w:r>
      <w:r>
        <w:rPr>
          <w:rFonts w:hint="eastAsia" w:ascii="Times New Roman" w:hAnsi="Times New Roman" w:eastAsia="仿宋_GB2312" w:cs="Times New Roman"/>
          <w:kern w:val="2"/>
          <w:sz w:val="32"/>
          <w:szCs w:val="32"/>
          <w:lang w:val="en-US" w:eastAsia="zh-CN" w:bidi="ar-SA"/>
        </w:rPr>
        <w:t>一家</w:t>
      </w:r>
      <w:r>
        <w:rPr>
          <w:rFonts w:hint="eastAsia" w:ascii="Times New Roman" w:cs="Times New Roman"/>
          <w:kern w:val="2"/>
          <w:sz w:val="32"/>
          <w:szCs w:val="32"/>
          <w:lang w:val="en-US" w:eastAsia="zh-CN" w:bidi="ar-SA"/>
        </w:rPr>
        <w:t>专业</w:t>
      </w:r>
      <w:r>
        <w:rPr>
          <w:rFonts w:hint="eastAsia" w:ascii="Times New Roman" w:hAnsi="Times New Roman" w:eastAsia="仿宋_GB2312" w:cs="Times New Roman"/>
          <w:kern w:val="2"/>
          <w:sz w:val="32"/>
          <w:szCs w:val="32"/>
          <w:lang w:val="en-US" w:eastAsia="zh-CN" w:bidi="ar-SA"/>
        </w:rPr>
        <w:t>土建维保单位对中心土建、装修部分进行维修保养。</w:t>
      </w:r>
    </w:p>
    <w:p>
      <w:pPr>
        <w:pStyle w:val="7"/>
        <w:ind w:firstLine="640"/>
        <w:rPr>
          <w:rFonts w:hint="eastAsia" w:ascii="Times New Roman" w:hAnsi="Times New Roman" w:eastAsia="仿宋_GB2312" w:cs="Times New Roman"/>
          <w:kern w:val="2"/>
          <w:sz w:val="32"/>
          <w:szCs w:val="32"/>
          <w:lang w:val="en-US" w:eastAsia="zh-CN" w:bidi="ar-SA"/>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r>
        <w:rPr>
          <w:rFonts w:hint="eastAsia" w:ascii="方正小标宋简体" w:hAnsi="宋体" w:eastAsia="方正小标宋简体" w:cs="方正小标宋简体"/>
          <w:kern w:val="2"/>
          <w:sz w:val="44"/>
          <w:szCs w:val="44"/>
          <w:lang w:val="en-US" w:eastAsia="zh-CN" w:bidi="ar"/>
        </w:rPr>
        <w:t>项目支出绩效评价报告</w:t>
      </w:r>
    </w:p>
    <w:p>
      <w:pPr>
        <w:keepNext w:val="0"/>
        <w:keepLines w:val="0"/>
        <w:pageBreakBefore w:val="0"/>
        <w:kinsoku/>
        <w:wordWrap/>
        <w:overflowPunct/>
        <w:topLinePunct w:val="0"/>
        <w:autoSpaceDE/>
        <w:autoSpaceDN/>
        <w:bidi w:val="0"/>
        <w:snapToGrid w:val="0"/>
        <w:spacing w:line="560" w:lineRule="exact"/>
        <w:ind w:firstLine="1920" w:firstLineChars="600"/>
        <w:jc w:val="both"/>
        <w:textAlignment w:val="auto"/>
        <w:rPr>
          <w:rFonts w:hint="eastAsia" w:ascii="仿宋_GB2312" w:hAnsi="宋体"/>
        </w:rPr>
      </w:pPr>
      <w:r>
        <w:rPr>
          <w:rFonts w:hint="eastAsia" w:ascii="仿宋_GB2312" w:hAnsi="宋体"/>
        </w:rPr>
        <w:t>（</w:t>
      </w:r>
      <w:r>
        <w:rPr>
          <w:rFonts w:hint="eastAsia" w:ascii="Times New Roman" w:hAnsi="Times New Roman" w:eastAsia="仿宋_GB2312" w:cs="仿宋_GB2312"/>
          <w:kern w:val="2"/>
          <w:sz w:val="32"/>
          <w:szCs w:val="24"/>
          <w:lang w:val="en-US" w:eastAsia="zh-CN" w:bidi="ar"/>
        </w:rPr>
        <w:t>廉政教育</w:t>
      </w:r>
      <w:r>
        <w:rPr>
          <w:rFonts w:hint="eastAsia" w:ascii="Times New Roman" w:hAnsi="Times New Roman" w:cs="仿宋_GB2312"/>
          <w:kern w:val="2"/>
          <w:sz w:val="32"/>
          <w:szCs w:val="24"/>
          <w:lang w:val="en-US" w:eastAsia="zh-CN" w:bidi="ar"/>
        </w:rPr>
        <w:t>中心</w:t>
      </w:r>
      <w:r>
        <w:rPr>
          <w:rFonts w:hint="eastAsia" w:ascii="Times New Roman" w:hAnsi="Times New Roman" w:eastAsia="仿宋_GB2312" w:cs="仿宋_GB2312"/>
          <w:kern w:val="2"/>
          <w:sz w:val="32"/>
          <w:szCs w:val="24"/>
          <w:lang w:val="en-US" w:eastAsia="zh-CN" w:bidi="ar"/>
        </w:rPr>
        <w:t>运转经费项目</w:t>
      </w:r>
      <w:r>
        <w:rPr>
          <w:rFonts w:hint="eastAsia" w:ascii="仿宋_GB2312" w:hAnsi="宋体"/>
        </w:rPr>
        <w:t>）</w:t>
      </w:r>
    </w:p>
    <w:p>
      <w:pPr>
        <w:pStyle w:val="2"/>
        <w:rPr>
          <w:rFonts w:hint="eastAsia"/>
        </w:rPr>
      </w:pPr>
    </w:p>
    <w:p>
      <w:pPr>
        <w:spacing w:line="600" w:lineRule="exact"/>
        <w:ind w:firstLine="640" w:firstLineChars="200"/>
        <w:outlineLvl w:val="1"/>
        <w:rPr>
          <w:rFonts w:hint="eastAsia" w:ascii="黑体" w:hAnsi="黑体" w:eastAsia="黑体"/>
          <w:color w:val="000000"/>
          <w:sz w:val="32"/>
          <w:szCs w:val="32"/>
          <w:lang w:val="en-US" w:eastAsia="zh-CN"/>
        </w:rPr>
      </w:pPr>
      <w:bookmarkStart w:id="245" w:name="_Toc13298"/>
      <w:bookmarkStart w:id="246" w:name="_Toc11839"/>
      <w:r>
        <w:rPr>
          <w:rFonts w:hint="eastAsia" w:ascii="黑体" w:hAnsi="黑体" w:eastAsia="黑体"/>
          <w:color w:val="000000"/>
          <w:sz w:val="32"/>
          <w:szCs w:val="32"/>
          <w:lang w:val="en-US" w:eastAsia="zh-CN"/>
        </w:rPr>
        <w:t>一、评价工作开展及项目情况</w:t>
      </w:r>
      <w:bookmarkEnd w:id="245"/>
      <w:bookmarkEnd w:id="24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kern w:val="2"/>
          <w:sz w:val="32"/>
          <w:szCs w:val="32"/>
          <w:lang w:val="en-US" w:eastAsia="zh-CN" w:bidi="ar-SA"/>
        </w:rPr>
        <w:t>1</w:t>
      </w:r>
      <w:r>
        <w:rPr>
          <w:rFonts w:hint="eastAsia" w:ascii="仿宋_GB2312" w:hAnsi="仿宋_GB2312" w:eastAsia="仿宋_GB2312" w:cs="仿宋_GB2312"/>
          <w:color w:val="auto"/>
          <w:sz w:val="32"/>
          <w:szCs w:val="32"/>
          <w:highlight w:val="none"/>
          <w:lang w:val="en-US" w:eastAsia="zh-CN"/>
        </w:rPr>
        <w:t>.选点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auto"/>
          <w:sz w:val="32"/>
          <w:szCs w:val="32"/>
          <w:highlight w:val="none"/>
          <w:lang w:val="en-US" w:eastAsia="zh-CN"/>
        </w:rPr>
        <w:t>根据项目评价实施方案和自贡市纪委监委廉政教育中</w:t>
      </w:r>
      <w:r>
        <w:rPr>
          <w:rFonts w:hint="eastAsia" w:ascii="Times New Roman" w:hAnsi="Times New Roman" w:eastAsia="仿宋_GB2312" w:cs="Times New Roman"/>
          <w:kern w:val="2"/>
          <w:sz w:val="32"/>
          <w:szCs w:val="32"/>
          <w:lang w:val="en-US" w:eastAsia="zh-CN" w:bidi="ar-SA"/>
        </w:rPr>
        <w:t>心职能，选择党风廉政教育、留置场所后勤保障两个点进行评价。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项目的产出、效益、满意度指标进行客观、公正地评价，从项目决策、项目管理、项目绩效三个方面制定评价指标体系。按照相关文件要求和领导的批示精神，做好党风廉政教育和留置场所日常管理、安全保卫等工作，切实完成制定的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3.评价方法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绩效评价采用的方法是实地调查法。根据《自贡市财政局关于开展2023年财政支出绩效评价工作的通知》（自财绩〔2023〕8号）文件中要求，结合单位特点和调研结果完善《单位整体支出绩效评价指标体系》，通过指标得分分析，以打分的方式对单位整体支出情况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4.基础数据表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default" w:ascii="仿宋_GB2312" w:hAnsi="仿宋_GB2312" w:eastAsia="仿宋_GB2312" w:cs="仿宋_GB2312"/>
          <w:color w:val="auto"/>
          <w:sz w:val="32"/>
          <w:szCs w:val="32"/>
          <w:highlight w:val="none"/>
          <w:lang w:val="en-US" w:eastAsia="zh-CN"/>
        </w:rPr>
        <w:t>本项目</w:t>
      </w:r>
      <w:r>
        <w:rPr>
          <w:rFonts w:hint="eastAsia" w:ascii="仿宋_GB2312" w:hAnsi="仿宋_GB2312" w:eastAsia="仿宋_GB2312" w:cs="仿宋_GB2312"/>
          <w:color w:val="auto"/>
          <w:sz w:val="32"/>
          <w:szCs w:val="32"/>
          <w:highlight w:val="none"/>
          <w:lang w:val="en-US" w:eastAsia="zh-CN"/>
        </w:rPr>
        <w:t>总支出为236.65万元，</w:t>
      </w:r>
      <w:r>
        <w:rPr>
          <w:rFonts w:hint="eastAsia" w:ascii="仿宋_GB2312" w:hAnsi="仿宋_GB2312" w:eastAsia="仿宋_GB2312" w:cs="仿宋_GB2312"/>
          <w:color w:val="auto"/>
          <w:sz w:val="32"/>
          <w:szCs w:val="32"/>
          <w:highlight w:val="none"/>
          <w:lang w:val="zh-CN" w:eastAsia="zh-CN"/>
        </w:rPr>
        <w:t>主要用于拨付留置场所运转所产生的电费、水费、气费、物管费、通讯费、维修维护费等支出。项目各项经费支出均通过相关报账手续进行资金拨付，项目实际支出与项目预算用途相符。</w:t>
      </w:r>
    </w:p>
    <w:p>
      <w:pPr>
        <w:spacing w:line="600" w:lineRule="exact"/>
        <w:ind w:firstLine="640" w:firstLineChars="200"/>
        <w:outlineLvl w:val="1"/>
        <w:rPr>
          <w:rFonts w:hint="eastAsia" w:ascii="黑体" w:hAnsi="黑体" w:eastAsia="黑体"/>
          <w:color w:val="000000"/>
          <w:sz w:val="32"/>
          <w:szCs w:val="32"/>
          <w:lang w:val="en-US" w:eastAsia="zh-CN"/>
        </w:rPr>
      </w:pPr>
      <w:bookmarkStart w:id="247" w:name="_Toc23456"/>
      <w:bookmarkStart w:id="248" w:name="_Toc12770"/>
      <w:r>
        <w:rPr>
          <w:rFonts w:hint="eastAsia" w:ascii="黑体" w:hAnsi="黑体" w:eastAsia="黑体"/>
          <w:color w:val="000000"/>
          <w:sz w:val="32"/>
          <w:szCs w:val="32"/>
          <w:lang w:val="en-US" w:eastAsia="zh-CN"/>
        </w:rPr>
        <w:t>二、评价结论及绩效分析</w:t>
      </w:r>
      <w:bookmarkEnd w:id="247"/>
      <w:bookmarkEnd w:id="24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评分结果自评满分，主要结论</w:t>
      </w:r>
      <w:r>
        <w:rPr>
          <w:rFonts w:hint="eastAsia" w:ascii="仿宋_GB2312" w:hAnsi="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更好地发挥廉政教育中心反腐败教育和</w:t>
      </w:r>
      <w:r>
        <w:rPr>
          <w:rFonts w:hint="eastAsia" w:ascii="仿宋_GB2312" w:hAnsi="仿宋_GB2312" w:cs="仿宋_GB2312"/>
          <w:color w:val="auto"/>
          <w:sz w:val="32"/>
          <w:szCs w:val="32"/>
          <w:highlight w:val="none"/>
          <w:lang w:val="en-US" w:eastAsia="zh-CN"/>
        </w:rPr>
        <w:t>廉政教育</w:t>
      </w:r>
      <w:r>
        <w:rPr>
          <w:rFonts w:hint="eastAsia" w:ascii="仿宋_GB2312" w:hAnsi="仿宋_GB2312" w:eastAsia="仿宋_GB2312" w:cs="仿宋_GB2312"/>
          <w:color w:val="auto"/>
          <w:sz w:val="32"/>
          <w:szCs w:val="32"/>
          <w:highlight w:val="none"/>
          <w:lang w:val="en-US" w:eastAsia="zh-CN"/>
        </w:rPr>
        <w:t>中心收置对象后勤保障服务职能。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对廉政教育中心内核心办案楼、综合服务楼、住宿楼及廉政教育楼办公费、物业费、网络服务费、水电等费用进行试运行测算，经2017年12月12日自贡市人民政府常务会议审议决定“从2018年起，安排市纪委、市监察局廉政教育中心全年运转经费300万元”</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廉政教育中心在完成绩效目标产出、效益、满意度指标的情况下，加强日常经费使用管理，做到厉行节约。</w:t>
      </w:r>
      <w:r>
        <w:rPr>
          <w:rFonts w:hint="eastAsia" w:ascii="仿宋_GB2312" w:hAnsi="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绩效目标是根据数量、效果、安全、社会效益、服务对象满意度等指标设置，符合实际需求。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度廉政教育中心运转经费项目主要实施内容包括：为市纪委监委审查调查工作人员提供住宿、餐饮服务，做好市纪委监委审查调查工作区域的强弱电维护、电梯维护，做好廉政教育中心室内外工作环境的绿化保养维护、保洁等。项目资金分配结果与规划计划一致。2022年度廉政教育中心运转经费</w:t>
      </w:r>
      <w:r>
        <w:rPr>
          <w:rFonts w:hint="eastAsia" w:ascii="仿宋_GB2312" w:hAnsi="仿宋_GB2312" w:eastAsia="仿宋_GB2312" w:cs="仿宋_GB2312"/>
          <w:color w:val="auto"/>
          <w:sz w:val="32"/>
          <w:szCs w:val="32"/>
          <w:highlight w:val="none"/>
          <w:lang w:val="zh-CN" w:eastAsia="zh-CN"/>
        </w:rPr>
        <w:t>项目资金实际支出为</w:t>
      </w:r>
      <w:r>
        <w:rPr>
          <w:rFonts w:hint="eastAsia" w:ascii="仿宋_GB2312" w:hAnsi="仿宋_GB2312" w:eastAsia="仿宋_GB2312" w:cs="仿宋_GB2312"/>
          <w:color w:val="auto"/>
          <w:sz w:val="32"/>
          <w:szCs w:val="32"/>
          <w:highlight w:val="none"/>
          <w:lang w:val="en-US" w:eastAsia="zh-CN"/>
        </w:rPr>
        <w:t>236.65万元，</w:t>
      </w:r>
      <w:r>
        <w:rPr>
          <w:rFonts w:hint="eastAsia" w:ascii="仿宋_GB2312" w:hAnsi="仿宋_GB2312" w:eastAsia="仿宋_GB2312" w:cs="仿宋_GB2312"/>
          <w:color w:val="auto"/>
          <w:sz w:val="32"/>
          <w:szCs w:val="32"/>
          <w:highlight w:val="none"/>
          <w:lang w:val="zh-CN" w:eastAsia="zh-CN"/>
        </w:rPr>
        <w:t>主要用于拨付留置场所运转所产生的的电费、水费、气费、物管费、通讯费、维修维护费等支出。项目各项经费支出均通过相关报账手续进行资金拨付。</w:t>
      </w:r>
      <w:r>
        <w:rPr>
          <w:rFonts w:hint="eastAsia" w:ascii="仿宋_GB2312" w:hAnsi="仿宋_GB2312" w:eastAsia="仿宋_GB2312" w:cs="仿宋_GB2312"/>
          <w:color w:val="auto"/>
          <w:sz w:val="32"/>
          <w:szCs w:val="32"/>
          <w:highlight w:val="none"/>
          <w:lang w:val="en-US" w:eastAsia="zh-CN"/>
        </w:rPr>
        <w:t>廉政教育中心运转经费项目组织实施过程中，涉及到留置场所日常产生的费用，由廉政教育中心内勤工作人员负责核对签字，再由廉政教育中心主任审核签字，最后由分管廉政教育中心的委机关领导和分管财务的委机关领导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。涉及到留置场所其他费用的，由需求部门经办人和廉政教育中心工作人员共同核对签字，再由廉政教育中心主任审签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，最后由分管廉政教育中心的委机关领导和分管财务的委机关领导审签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。所有的程序均按照财务管理制度执行，并层层把关严格监管。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廉政教育中心运转经费项目主要是为党风廉政教育提供后勤保障；为市纪委监委审查调查工作提供后勤保障服务所需，确保留置场所的安全运转。预算执行率为100%，全年廉政教育参观场次超过120场次，机关事业单位廉政教育覆盖率为100%，对廉政教育产生的促进作用超过95%，廉政教育效果良好；同时为市纪委监委审查调查工作提供稳定的办案场所，留置场所办案安全率为100%，日常安保安全率为100%。</w:t>
      </w:r>
    </w:p>
    <w:p>
      <w:pPr>
        <w:spacing w:line="600" w:lineRule="exact"/>
        <w:ind w:firstLine="640" w:firstLineChars="200"/>
        <w:outlineLvl w:val="1"/>
        <w:rPr>
          <w:rFonts w:hint="eastAsia" w:ascii="黑体" w:hAnsi="黑体" w:eastAsia="黑体"/>
          <w:color w:val="000000"/>
          <w:sz w:val="32"/>
          <w:szCs w:val="32"/>
          <w:lang w:val="en-US" w:eastAsia="zh-CN"/>
        </w:rPr>
      </w:pPr>
      <w:bookmarkStart w:id="249" w:name="_Toc563"/>
      <w:bookmarkStart w:id="250" w:name="_Toc5292"/>
      <w:r>
        <w:rPr>
          <w:rFonts w:hint="eastAsia" w:ascii="黑体" w:hAnsi="黑体" w:eastAsia="黑体"/>
          <w:color w:val="000000"/>
          <w:sz w:val="32"/>
          <w:szCs w:val="32"/>
          <w:lang w:val="en-US" w:eastAsia="zh-CN"/>
        </w:rPr>
        <w:t>三、存在主要问题</w:t>
      </w:r>
      <w:bookmarkEnd w:id="249"/>
      <w:bookmarkEnd w:id="25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1.由于预算绩效管理工作专业性强、精细化程度高，我单位无专业人员，绩效工作精细化程度有待提高。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2.廉政教育</w:t>
      </w:r>
      <w:r>
        <w:rPr>
          <w:rFonts w:hint="eastAsia" w:ascii="仿宋_GB2312" w:hAnsi="仿宋_GB2312" w:eastAsia="仿宋_GB2312" w:cs="仿宋_GB2312"/>
          <w:color w:val="auto"/>
          <w:sz w:val="32"/>
          <w:szCs w:val="32"/>
          <w:highlight w:val="none"/>
          <w:lang w:val="zh-CN" w:eastAsia="zh-CN"/>
        </w:rPr>
        <w:t>中心改扩建已于</w:t>
      </w:r>
      <w:r>
        <w:rPr>
          <w:rFonts w:hint="eastAsia" w:ascii="仿宋_GB2312" w:hAnsi="仿宋_GB2312" w:eastAsia="仿宋_GB2312" w:cs="仿宋_GB2312"/>
          <w:color w:val="auto"/>
          <w:sz w:val="32"/>
          <w:szCs w:val="32"/>
          <w:highlight w:val="none"/>
          <w:lang w:val="en-US" w:eastAsia="zh-CN"/>
        </w:rPr>
        <w:t>2021年全部投入使用，办公室增加13间，住宿房间增加21间，运转负荷加大，水电气物业费等增加，导致日常运行费用增加。</w:t>
      </w:r>
    </w:p>
    <w:p>
      <w:pPr>
        <w:spacing w:line="600" w:lineRule="exact"/>
        <w:ind w:firstLine="640" w:firstLineChars="200"/>
        <w:outlineLvl w:val="1"/>
        <w:rPr>
          <w:rFonts w:hint="eastAsia" w:ascii="黑体" w:hAnsi="黑体" w:eastAsia="黑体"/>
          <w:color w:val="000000"/>
          <w:sz w:val="32"/>
          <w:szCs w:val="32"/>
          <w:lang w:val="en-US" w:eastAsia="zh-CN"/>
        </w:rPr>
      </w:pPr>
      <w:bookmarkStart w:id="251" w:name="_Toc12011"/>
      <w:bookmarkStart w:id="252" w:name="_Toc18441"/>
      <w:r>
        <w:rPr>
          <w:rFonts w:hint="eastAsia" w:ascii="黑体" w:hAnsi="黑体" w:eastAsia="黑体"/>
          <w:color w:val="000000"/>
          <w:sz w:val="32"/>
          <w:szCs w:val="32"/>
          <w:lang w:val="en-US" w:eastAsia="zh-CN"/>
        </w:rPr>
        <w:t>四 相关措施建议</w:t>
      </w:r>
      <w:bookmarkEnd w:id="251"/>
      <w:bookmarkEnd w:id="25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加强工作人员财务方面的知识培训，进一步细化、量化绩效目标编制。</w:t>
      </w:r>
    </w:p>
    <w:p>
      <w:pPr>
        <w:keepNext w:val="0"/>
        <w:keepLines w:val="0"/>
        <w:pageBreakBefore w:val="0"/>
        <w:widowControl w:val="0"/>
        <w:kinsoku/>
        <w:wordWrap/>
        <w:overflowPunct/>
        <w:topLinePunct w:val="0"/>
        <w:autoSpaceDE/>
        <w:autoSpaceDN/>
        <w:bidi w:val="0"/>
        <w:adjustRightInd/>
        <w:snapToGrid/>
        <w:spacing w:line="560" w:lineRule="exact"/>
        <w:ind w:left="-960" w:leftChars="-300" w:right="0" w:rightChars="0" w:firstLine="1600" w:firstLineChars="5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2.日常运行费用增加，建议追加预算。</w:t>
      </w:r>
    </w:p>
    <w:p>
      <w:pPr>
        <w:pStyle w:val="2"/>
        <w:ind w:left="0" w:leftChars="0" w:firstLine="0" w:firstLineChars="0"/>
        <w:rPr>
          <w:rFonts w:hint="default"/>
          <w:lang w:val="en-US" w:eastAsia="zh-CN"/>
        </w:rPr>
      </w:pPr>
    </w:p>
    <w:p>
      <w:pPr>
        <w:keepNext w:val="0"/>
        <w:keepLines w:val="0"/>
        <w:widowControl w:val="0"/>
        <w:suppressLineNumbers w:val="0"/>
        <w:snapToGrid w:val="0"/>
        <w:spacing w:before="0" w:beforeAutospacing="0" w:after="0" w:afterAutospacing="0" w:line="600" w:lineRule="exact"/>
        <w:ind w:left="0" w:right="0"/>
        <w:jc w:val="center"/>
        <w:rPr>
          <w:rFonts w:hint="default" w:ascii="方正小标宋简体" w:hAnsi="宋体" w:eastAsia="方正小标宋简体" w:cs="方正小标宋简体"/>
          <w:kern w:val="2"/>
          <w:sz w:val="44"/>
          <w:szCs w:val="44"/>
          <w:lang w:val="en-US" w:eastAsia="zh-CN" w:bidi="ar"/>
        </w:rPr>
      </w:pPr>
      <w:r>
        <w:rPr>
          <w:rFonts w:hint="eastAsia" w:ascii="方正小标宋简体" w:hAnsi="宋体" w:eastAsia="方正小标宋简体" w:cs="方正小标宋简体"/>
          <w:kern w:val="2"/>
          <w:sz w:val="44"/>
          <w:szCs w:val="44"/>
          <w:lang w:val="en-US" w:eastAsia="zh-CN" w:bidi="ar"/>
        </w:rPr>
        <w:t>项目支出绩效评价报告</w:t>
      </w:r>
    </w:p>
    <w:p>
      <w:pPr>
        <w:keepNext w:val="0"/>
        <w:keepLines w:val="0"/>
        <w:pageBreakBefore w:val="0"/>
        <w:widowControl w:val="0"/>
        <w:kinsoku/>
        <w:wordWrap/>
        <w:overflowPunct/>
        <w:topLinePunct w:val="0"/>
        <w:autoSpaceDE/>
        <w:autoSpaceDN/>
        <w:bidi w:val="0"/>
        <w:snapToGrid w:val="0"/>
        <w:spacing w:line="560" w:lineRule="exact"/>
        <w:ind w:firstLine="1600" w:firstLineChars="500"/>
        <w:jc w:val="both"/>
        <w:textAlignment w:val="auto"/>
        <w:rPr>
          <w:rFonts w:hint="eastAsia" w:ascii="仿宋_GB2312" w:hAnsi="宋体"/>
        </w:rPr>
      </w:pPr>
      <w:r>
        <w:rPr>
          <w:rFonts w:hint="eastAsia" w:ascii="仿宋_GB2312" w:hAnsi="宋体"/>
        </w:rPr>
        <w:t>（</w:t>
      </w:r>
      <w:r>
        <w:rPr>
          <w:rFonts w:hint="eastAsia" w:hAnsi="宋体"/>
        </w:rPr>
        <w:t>非税征收管理项目（管理）</w:t>
      </w:r>
      <w:r>
        <w:rPr>
          <w:rFonts w:hint="eastAsia" w:hAnsi="宋体"/>
          <w:lang w:val="en-US" w:eastAsia="zh-CN"/>
        </w:rPr>
        <w:t>项目</w:t>
      </w:r>
      <w:r>
        <w:rPr>
          <w:rFonts w:hint="eastAsia" w:ascii="仿宋_GB2312" w:hAnsi="宋体"/>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b/>
          <w:bCs/>
          <w:color w:val="auto"/>
          <w:sz w:val="32"/>
          <w:szCs w:val="32"/>
          <w:highlight w:val="none"/>
          <w:lang w:val="en-US" w:eastAsia="zh-CN"/>
        </w:rPr>
      </w:pPr>
      <w:r>
        <w:rPr>
          <w:rFonts w:hint="eastAsia" w:ascii="黑体" w:hAnsi="黑体" w:eastAsia="黑体"/>
          <w:color w:val="000000"/>
          <w:sz w:val="32"/>
          <w:szCs w:val="32"/>
          <w:lang w:val="en-US" w:eastAsia="zh-CN"/>
        </w:rPr>
        <w:t>一、评价工作开展及项目情况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1.选点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根据项目评价实施方案，选择留置场所后勤配套区域改造、留置场所后勤服务保障两个点进行评价。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项目的产出、效益、满意度指标进行客观、公正地评价，从项目决策、项目管理、项目绩效三个方面制定评价指标体系。按照相关文件要求和领导的批示精神，做好党风廉政教育和留置场所后勤服务保障等工作，完成留置场所后勤配套区域篮球场、羽毛球场、健身房升级改造，切实完成制定的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3.评价方法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本次绩效评价采用的方法是指标评分法和实地调查法。根据《自贡市财政局关于开展</w:t>
      </w:r>
      <w:r>
        <w:rPr>
          <w:rFonts w:hint="default" w:ascii="仿宋_GB2312" w:hAnsi="仿宋_GB2312" w:eastAsia="仿宋_GB2312" w:cs="仿宋_GB2312"/>
          <w:color w:val="auto"/>
          <w:sz w:val="32"/>
          <w:szCs w:val="32"/>
          <w:highlight w:val="none"/>
          <w:lang w:val="en-US" w:eastAsia="zh-CN"/>
        </w:rPr>
        <w:t>202</w:t>
      </w:r>
      <w:r>
        <w:rPr>
          <w:rFonts w:hint="eastAsia" w:ascii="仿宋_GB2312" w:hAnsi="仿宋_GB2312" w:eastAsia="仿宋_GB2312" w:cs="仿宋_GB2312"/>
          <w:color w:val="auto"/>
          <w:sz w:val="32"/>
          <w:szCs w:val="32"/>
          <w:highlight w:val="none"/>
          <w:lang w:val="en-US" w:eastAsia="zh-CN"/>
        </w:rPr>
        <w:t>3年财政支出绩效评价工作的通知》（自财绩〔2023〕8号）文件中要求，结合单位特点和调研结果完善《单位整体支出绩效评价指标体系》，通过指标得分分析，以打分的方式对单位整体支出情况进行评价。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4.基础数据表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default" w:ascii="仿宋_GB2312" w:hAnsi="仿宋_GB2312" w:eastAsia="仿宋_GB2312" w:cs="仿宋_GB2312"/>
          <w:color w:val="auto"/>
          <w:sz w:val="32"/>
          <w:szCs w:val="32"/>
          <w:highlight w:val="none"/>
          <w:lang w:val="en-US" w:eastAsia="zh-CN"/>
        </w:rPr>
        <w:t>本项目</w:t>
      </w:r>
      <w:r>
        <w:rPr>
          <w:rFonts w:hint="eastAsia" w:ascii="仿宋_GB2312" w:hAnsi="仿宋_GB2312" w:eastAsia="仿宋_GB2312" w:cs="仿宋_GB2312"/>
          <w:color w:val="auto"/>
          <w:sz w:val="32"/>
          <w:szCs w:val="32"/>
          <w:highlight w:val="none"/>
          <w:lang w:val="en-US" w:eastAsia="zh-CN"/>
        </w:rPr>
        <w:t>总支出为198.72万元，</w:t>
      </w:r>
      <w:r>
        <w:rPr>
          <w:rFonts w:hint="eastAsia" w:ascii="仿宋_GB2312" w:hAnsi="仿宋_GB2312" w:eastAsia="仿宋_GB2312" w:cs="仿宋_GB2312"/>
          <w:color w:val="auto"/>
          <w:sz w:val="32"/>
          <w:szCs w:val="32"/>
          <w:highlight w:val="none"/>
          <w:lang w:val="zh-CN" w:eastAsia="zh-CN"/>
        </w:rPr>
        <w:t>主要用于拨付留置场所后勤保障区域篮球场、羽毛球场、健身房升级改造项目</w:t>
      </w:r>
      <w:r>
        <w:rPr>
          <w:rFonts w:hint="eastAsia" w:ascii="仿宋_GB2312" w:hAnsi="仿宋_GB2312" w:cs="仿宋_GB2312"/>
          <w:color w:val="auto"/>
          <w:sz w:val="32"/>
          <w:szCs w:val="32"/>
          <w:highlight w:val="none"/>
          <w:lang w:val="en-US" w:eastAsia="zh-CN"/>
        </w:rPr>
        <w:t>及未能用“廉政</w:t>
      </w:r>
      <w:r>
        <w:rPr>
          <w:rFonts w:hint="eastAsia" w:ascii="仿宋_GB2312" w:hAnsi="仿宋_GB2312" w:eastAsia="仿宋_GB2312" w:cs="仿宋_GB2312"/>
          <w:color w:val="auto"/>
          <w:sz w:val="32"/>
          <w:szCs w:val="32"/>
          <w:highlight w:val="none"/>
          <w:lang w:val="zh-CN" w:eastAsia="zh-CN"/>
        </w:rPr>
        <w:t>中心运转经费</w:t>
      </w:r>
      <w:r>
        <w:rPr>
          <w:rFonts w:hint="eastAsia" w:ascii="仿宋_GB2312" w:hAnsi="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保障的物业费、电费等支出。项目各项经费支出均通过相关</w:t>
      </w:r>
      <w:r>
        <w:rPr>
          <w:rFonts w:hint="eastAsia" w:ascii="仿宋_GB2312" w:hAnsi="仿宋_GB2312" w:cs="仿宋_GB2312"/>
          <w:color w:val="auto"/>
          <w:sz w:val="32"/>
          <w:szCs w:val="32"/>
          <w:highlight w:val="none"/>
          <w:lang w:val="en-US" w:eastAsia="zh-CN"/>
        </w:rPr>
        <w:t>正规财务</w:t>
      </w:r>
      <w:r>
        <w:rPr>
          <w:rFonts w:hint="eastAsia" w:ascii="仿宋_GB2312" w:hAnsi="仿宋_GB2312" w:eastAsia="仿宋_GB2312" w:cs="仿宋_GB2312"/>
          <w:color w:val="auto"/>
          <w:sz w:val="32"/>
          <w:szCs w:val="32"/>
          <w:highlight w:val="none"/>
          <w:lang w:val="zh-CN" w:eastAsia="zh-CN"/>
        </w:rPr>
        <w:t>手续进行资金拨付，项目实际支出与项目预算用途相符。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二、评价结论及绩效分析</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楷体_GB2312" w:hAnsi="宋体" w:eastAsia="楷体_GB2312"/>
        </w:rPr>
      </w:pPr>
      <w:r>
        <w:rPr>
          <w:rFonts w:hint="eastAsia" w:ascii="楷体_GB2312" w:hAnsi="宋体" w:eastAsia="楷体_GB2312"/>
        </w:rPr>
        <w:t>（一）评价结论</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宋体" w:hAnsi="宋体" w:cs="宋体"/>
        </w:rPr>
      </w:pPr>
      <w:r>
        <w:rPr>
          <w:rFonts w:hint="eastAsia" w:ascii="仿宋_GB2312" w:hAnsi="仿宋_GB2312" w:eastAsia="仿宋_GB2312" w:cs="仿宋_GB2312"/>
          <w:kern w:val="2"/>
          <w:sz w:val="32"/>
          <w:szCs w:val="32"/>
          <w:lang w:val="en-US" w:eastAsia="zh-CN" w:bidi="ar-SA"/>
        </w:rPr>
        <w:t>评分结果自评</w:t>
      </w:r>
      <w:r>
        <w:rPr>
          <w:rFonts w:hint="eastAsia" w:hAnsi="仿宋_GB2312" w:cs="仿宋_GB2312"/>
          <w:kern w:val="2"/>
          <w:sz w:val="32"/>
          <w:szCs w:val="32"/>
          <w:lang w:val="en-US" w:eastAsia="zh-CN" w:bidi="ar-SA"/>
        </w:rPr>
        <w:t>满</w:t>
      </w:r>
      <w:r>
        <w:rPr>
          <w:rFonts w:hint="eastAsia" w:ascii="仿宋_GB2312" w:hAnsi="仿宋_GB2312" w:eastAsia="仿宋_GB2312" w:cs="仿宋_GB2312"/>
          <w:kern w:val="2"/>
          <w:sz w:val="32"/>
          <w:szCs w:val="32"/>
          <w:lang w:val="en-US" w:eastAsia="zh-CN" w:bidi="ar-SA"/>
        </w:rPr>
        <w:t>分，主要结论</w:t>
      </w:r>
      <w:r>
        <w:rPr>
          <w:rFonts w:hint="eastAsia" w:ascii="仿宋_GB2312" w:hAnsi="仿宋_GB2312" w:cs="仿宋_GB2312"/>
          <w:kern w:val="2"/>
          <w:sz w:val="32"/>
          <w:szCs w:val="32"/>
          <w:lang w:val="en-US" w:eastAsia="zh-CN" w:bidi="ar-SA"/>
        </w:rPr>
        <w:t>较</w:t>
      </w:r>
      <w:r>
        <w:rPr>
          <w:rFonts w:hint="eastAsia" w:ascii="仿宋_GB2312" w:hAnsi="仿宋_GB2312" w:eastAsia="仿宋_GB2312" w:cs="仿宋_GB2312"/>
          <w:kern w:val="2"/>
          <w:sz w:val="32"/>
          <w:szCs w:val="32"/>
          <w:lang w:val="en-US" w:eastAsia="zh-CN" w:bidi="ar-SA"/>
        </w:rPr>
        <w:t>好地</w:t>
      </w:r>
      <w:r>
        <w:rPr>
          <w:rFonts w:hint="eastAsia" w:ascii="仿宋_GB2312" w:hAnsi="仿宋_GB2312" w:cs="仿宋_GB2312"/>
          <w:kern w:val="2"/>
          <w:sz w:val="32"/>
          <w:szCs w:val="32"/>
          <w:lang w:val="en-US" w:eastAsia="zh-CN" w:bidi="ar-SA"/>
        </w:rPr>
        <w:t>保障了留置场所后勤服务</w:t>
      </w:r>
      <w:r>
        <w:rPr>
          <w:rFonts w:hint="eastAsia" w:ascii="仿宋_GB2312" w:hAnsi="仿宋_GB2312" w:eastAsia="仿宋_GB2312" w:cs="仿宋_GB2312"/>
          <w:kern w:val="2"/>
          <w:sz w:val="32"/>
          <w:szCs w:val="32"/>
          <w:lang w:val="en-US" w:eastAsia="zh-CN" w:bidi="ar-SA"/>
        </w:rPr>
        <w:t>职能。</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楷体_GB2312" w:hAnsi="宋体" w:eastAsia="楷体_GB2312"/>
        </w:rPr>
      </w:pPr>
      <w:r>
        <w:rPr>
          <w:rFonts w:hint="eastAsia" w:ascii="楷体_GB2312" w:hAnsi="宋体" w:eastAsia="楷体_GB2312"/>
        </w:rPr>
        <w:t>（二）绩效分析</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非税征收管理项目主要是开展室外篮球场、羽毛球场及健身房的改造项目，适度增加健身器材；完成留置中心日常管理、后勤保障等工作。为解决留置场所室外篮球场、羽毛球场地坪变形情况，同时缓解驻点工作人员、公安辅警人员工作压力，满足公安辅警人员日常综合体能达标考核训练要求，经自贡市机关事务管理局《关于市纪委监委廉政教育中心室外球场和室内健身房改造的复函》（自机管函[2022]49号）和自贡市财政局、自贡市机关事务管理局《关于市纪委监委廉政教育中心新增资产配置的函》（2022-277）同意</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对留置场所后勤区域（室外篮球场、羽毛球场、健身房）进行改造</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非税征收管理项目主要实施内容包括：改造室外篮球场、羽毛球场、健身房，增加健身器材，留置场所物业费、电费等后勤服务费用。项目资金分配结果与规划计划一致。2022年度</w:t>
      </w:r>
      <w:r>
        <w:rPr>
          <w:rFonts w:hint="eastAsia" w:ascii="仿宋_GB2312" w:hAnsi="仿宋_GB2312" w:eastAsia="仿宋_GB2312" w:cs="仿宋_GB2312"/>
          <w:color w:val="auto"/>
          <w:sz w:val="32"/>
          <w:szCs w:val="32"/>
          <w:highlight w:val="none"/>
          <w:lang w:val="zh-CN" w:eastAsia="zh-CN"/>
        </w:rPr>
        <w:t>实际支出为</w:t>
      </w:r>
      <w:r>
        <w:rPr>
          <w:rFonts w:hint="eastAsia" w:ascii="仿宋_GB2312" w:hAnsi="仿宋_GB2312" w:eastAsia="仿宋_GB2312" w:cs="仿宋_GB2312"/>
          <w:color w:val="auto"/>
          <w:sz w:val="32"/>
          <w:szCs w:val="32"/>
          <w:highlight w:val="none"/>
          <w:lang w:val="en-US" w:eastAsia="zh-CN"/>
        </w:rPr>
        <w:t>198.72万元，</w:t>
      </w:r>
      <w:r>
        <w:rPr>
          <w:rFonts w:hint="eastAsia" w:ascii="仿宋_GB2312" w:hAnsi="仿宋_GB2312" w:eastAsia="仿宋_GB2312" w:cs="仿宋_GB2312"/>
          <w:color w:val="auto"/>
          <w:sz w:val="32"/>
          <w:szCs w:val="32"/>
          <w:highlight w:val="none"/>
          <w:lang w:val="zh-CN" w:eastAsia="zh-CN"/>
        </w:rPr>
        <w:t>主要用于拨付留置后勤区域</w:t>
      </w:r>
      <w:r>
        <w:rPr>
          <w:rFonts w:hint="eastAsia" w:ascii="仿宋_GB2312" w:hAnsi="仿宋_GB2312" w:eastAsia="仿宋_GB2312" w:cs="仿宋_GB2312"/>
          <w:color w:val="auto"/>
          <w:sz w:val="32"/>
          <w:szCs w:val="32"/>
          <w:highlight w:val="none"/>
          <w:lang w:val="en-US" w:eastAsia="zh-CN"/>
        </w:rPr>
        <w:t>室外篮球场、羽毛球场、健身房装修改造，健身器材的增加，留置场所物业费、电费等支出。</w:t>
      </w:r>
      <w:r>
        <w:rPr>
          <w:rFonts w:hint="eastAsia" w:ascii="仿宋_GB2312" w:hAnsi="仿宋_GB2312" w:eastAsia="仿宋_GB2312" w:cs="仿宋_GB2312"/>
          <w:color w:val="auto"/>
          <w:sz w:val="32"/>
          <w:szCs w:val="32"/>
          <w:highlight w:val="none"/>
          <w:lang w:val="zh-CN" w:eastAsia="zh-CN"/>
        </w:rPr>
        <w:t>项目各项经费支出均通过相关报账手续进行资金拨付。</w:t>
      </w:r>
      <w:r>
        <w:rPr>
          <w:rFonts w:hint="eastAsia" w:ascii="仿宋_GB2312" w:hAnsi="仿宋_GB2312" w:eastAsia="仿宋_GB2312" w:cs="仿宋_GB2312"/>
          <w:color w:val="auto"/>
          <w:sz w:val="32"/>
          <w:szCs w:val="32"/>
          <w:highlight w:val="none"/>
          <w:lang w:val="en-US" w:eastAsia="zh-CN"/>
        </w:rPr>
        <w:t>项目组织实施过程中，涉及到留置场所日常产生的费用，由廉政教育中心内勤工作人员负责核对签字，再由廉政教育中心主任审签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，最后由分管廉政教育中心的委机关领导和分管财务的委机关领导审签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。涉及到留置场所其他费用的，由需求部门经办人和廉政教育中心工作人员共同核对签字，再由廉政教育中心主任审核签字，最后由分管廉政教育中心的委机关领导和分管财务的委机关领导</w:t>
      </w:r>
      <w:r>
        <w:rPr>
          <w:rFonts w:hint="eastAsia" w:ascii="仿宋_GB2312" w:hAnsi="仿宋_GB2312" w:cs="仿宋_GB2312"/>
          <w:color w:val="auto"/>
          <w:sz w:val="32"/>
          <w:szCs w:val="32"/>
          <w:highlight w:val="none"/>
          <w:lang w:val="en-US" w:eastAsia="zh-CN"/>
        </w:rPr>
        <w:t>审签同意</w:t>
      </w:r>
      <w:r>
        <w:rPr>
          <w:rFonts w:hint="eastAsia" w:ascii="仿宋_GB2312" w:hAnsi="仿宋_GB2312" w:eastAsia="仿宋_GB2312" w:cs="仿宋_GB2312"/>
          <w:color w:val="auto"/>
          <w:sz w:val="32"/>
          <w:szCs w:val="32"/>
          <w:highlight w:val="none"/>
          <w:lang w:val="en-US" w:eastAsia="zh-CN"/>
        </w:rPr>
        <w:t>。所有的程序均按照财务管理制度执行，并层层把关严格监管。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廉政教育中心完成</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绩效目标产出、效益、满意度指标的情况下，加强日常经费使用管理，做到厉行节约。绩效目标是根据数量、质量、时效、可持续影响、满意度等指标设置，符合实际需求</w:t>
      </w:r>
      <w:r>
        <w:rPr>
          <w:rFonts w:hint="eastAsia" w:ascii="仿宋_GB2312" w:hAnsi="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预算执行率为100%，保障</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留置场所日常运转，守住</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审查调查安全底线，安全率为100%</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篮球场、羽毛球场及健身房的改造项目预期两个月内完工，并投入使用，保障</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我市良好政治生态，服务对象满意度超过90%。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三、存在主要问题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四、相关措施建议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在节约经费的情况下，提升物业服务水平，加强物业人员的素质培养，建立完善的物业服务考核制度。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pStyle w:val="5"/>
        <w:rPr>
          <w:rFonts w:hint="eastAsia"/>
          <w:lang w:val="en-US" w:eastAsia="zh-CN"/>
        </w:rPr>
      </w:pPr>
      <w:bookmarkStart w:id="253" w:name="_Toc19477"/>
      <w:bookmarkStart w:id="254" w:name="_Toc13421"/>
      <w:bookmarkStart w:id="255" w:name="_Toc14438"/>
      <w:bookmarkStart w:id="256" w:name="_Toc20229"/>
      <w:bookmarkStart w:id="257" w:name="_Toc14536"/>
      <w:bookmarkStart w:id="258" w:name="_Toc23576"/>
      <w:bookmarkStart w:id="259" w:name="_Toc16206"/>
      <w:r>
        <w:rPr>
          <w:rFonts w:hint="eastAsia"/>
          <w:lang w:val="en-US" w:eastAsia="zh-CN"/>
        </w:rPr>
        <w:t>附件3</w:t>
      </w:r>
      <w:bookmarkEnd w:id="253"/>
      <w:bookmarkEnd w:id="254"/>
      <w:bookmarkEnd w:id="255"/>
      <w:bookmarkEnd w:id="256"/>
      <w:bookmarkEnd w:id="257"/>
      <w:bookmarkEnd w:id="258"/>
      <w:bookmarkEnd w:id="259"/>
    </w:p>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pPr>
      <w:r>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t>部门预算项目支出绩效自评表（2022年度）</w:t>
      </w:r>
    </w:p>
    <w:p>
      <w:pPr>
        <w:keepNext w:val="0"/>
        <w:keepLines w:val="0"/>
        <w:pageBreakBefore w:val="0"/>
        <w:widowControl/>
        <w:kinsoku/>
        <w:wordWrap/>
        <w:overflowPunct/>
        <w:topLinePunct w:val="0"/>
        <w:autoSpaceDE/>
        <w:autoSpaceDN/>
        <w:bidi w:val="0"/>
        <w:adjustRightInd w:val="0"/>
        <w:snapToGrid w:val="0"/>
        <w:spacing w:line="360" w:lineRule="auto"/>
        <w:contextualSpacing/>
        <w:jc w:val="left"/>
        <w:textAlignment w:val="auto"/>
        <w:rPr>
          <w:rFonts w:hint="eastAsia" w:ascii="黑体" w:hAnsi="黑体" w:eastAsia="黑体" w:cs="黑体"/>
          <w:color w:val="000000"/>
          <w:kern w:val="0"/>
          <w:sz w:val="32"/>
          <w:szCs w:val="32"/>
          <w:highlight w:val="none"/>
          <w:shd w:val="clear" w:color="auto" w:fill="FFFFFF"/>
          <w:lang w:val="en-US" w:eastAsia="zh-CN"/>
        </w:rPr>
      </w:pPr>
    </w:p>
    <w:tbl>
      <w:tblPr>
        <w:tblStyle w:val="17"/>
        <w:tblW w:w="8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3"/>
        <w:gridCol w:w="1044"/>
        <w:gridCol w:w="1100"/>
        <w:gridCol w:w="995"/>
        <w:gridCol w:w="609"/>
        <w:gridCol w:w="482"/>
        <w:gridCol w:w="950"/>
        <w:gridCol w:w="775"/>
        <w:gridCol w:w="455"/>
        <w:gridCol w:w="403"/>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51030022T000000336179-市纪委档案综合库房建设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进一步推进对长期和永久保存的档案进行数字化加工、数据挂接以及做好备份工作。</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完成了档案整理、档案数字化扫描、条目著录、新建成数字档案管理系统。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对现存档案进行扫描、清理、查漏排序、审核、鉴定、整理打码、处理及数据挂接。在规定时间内完成数字档案管理系统建设、业务档案德政利扫描、条目著录及上架等全部工作。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完成档案收集数量</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开展信息化宣传活动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场次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信息化覆盖率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档案影响年限</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20年</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此项目已按照合同约定内容保质保量完成。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我国尚未成立明确的机构来规范和指导档案外包服务行业的发展。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提高对档案服务外包工作重要性的认识，加强对档案服务外包单位的资质审查。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项目负责人：赵孝強</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51030022T000000354101-市纪委办案工作经费（部门项目）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加大执纪审查和监察调查工作力度，强化纪律保障，提升群众满意度。</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2022年问题线索处置率100%，谈话函询率99.1%，结案率96.3%，没有发生办案安全事故事件，全市政治生态持续向好，审查调查工作实现了政治效果、纪法效果、社会效果相统一。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办案工作经费主要用于办案过程中所需录音录像刻录硬盘购买，公安看护人员、驻点医务人员、驻点监督人员公杂费等办案过程所需费用的保障，采取定期或不定期进行支付。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问题线索处置率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谈话函询处置率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99.1</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留置对象满意度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2022年度办案工作经费的及时足额落实到位，为我市执纪审查和监察调查各项工作有力、有序推进</w:t>
            </w:r>
            <w:r>
              <w:rPr>
                <w:rFonts w:hint="eastAsia" w:ascii="宋体" w:hAnsi="宋体" w:eastAsia="宋体" w:cs="宋体"/>
                <w:i w:val="0"/>
                <w:color w:val="000000"/>
                <w:kern w:val="0"/>
                <w:sz w:val="18"/>
                <w:szCs w:val="18"/>
                <w:u w:val="none"/>
                <w:lang w:val="en-US" w:eastAsia="zh-CN" w:bidi="ar"/>
              </w:rPr>
              <w:t>，</w:t>
            </w:r>
            <w:r>
              <w:rPr>
                <w:rFonts w:ascii="宋体" w:hAnsi="宋体" w:eastAsia="宋体" w:cs="宋体"/>
                <w:i w:val="0"/>
                <w:color w:val="000000"/>
                <w:kern w:val="0"/>
                <w:sz w:val="18"/>
                <w:szCs w:val="18"/>
                <w:u w:val="none"/>
                <w:lang w:val="en-US" w:eastAsia="zh-CN" w:bidi="ar"/>
              </w:rPr>
              <w:t>提供了强有力保障，大大激发了工作积极性，进一步促进了审查调查工作高质量发展，有利于进一步净化全市政治生态。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由于工作头绪多、人手不足的原因，有时经费兑现及时性还存在一定的差距。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每月定人、定时负责经费发放工作，确保经费及时兑现到位。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项目负责人：吴海平</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51030022T000006651745-市纪委办案业务用房建设项目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市纪委监委廉政教育中心办案业务用房建设，</w:t>
            </w:r>
            <w:r>
              <w:rPr>
                <w:rFonts w:ascii="宋体" w:hAnsi="宋体" w:eastAsia="宋体" w:cs="宋体"/>
                <w:i w:val="0"/>
                <w:color w:val="000000"/>
                <w:kern w:val="0"/>
                <w:sz w:val="18"/>
                <w:szCs w:val="18"/>
                <w:u w:val="none"/>
                <w:lang w:val="en-US" w:eastAsia="zh-CN" w:bidi="ar"/>
              </w:rPr>
              <w:t>根据施工合同约定缺陷责任期为24个月，该建设于2019年4月5日缺陷责任期满，缺陷责任期终止后，该工程质保金应予以支付。</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支付</w:t>
            </w:r>
            <w:r>
              <w:rPr>
                <w:rFonts w:hint="eastAsia" w:ascii="宋体" w:hAnsi="宋体" w:eastAsia="宋体" w:cs="宋体"/>
                <w:i w:val="0"/>
                <w:color w:val="000000"/>
                <w:kern w:val="0"/>
                <w:sz w:val="18"/>
                <w:szCs w:val="18"/>
                <w:u w:val="none"/>
                <w:lang w:val="en-US" w:eastAsia="zh-CN" w:bidi="ar"/>
              </w:rPr>
              <w:t>廉政教育中心</w:t>
            </w:r>
            <w:r>
              <w:rPr>
                <w:rFonts w:ascii="宋体" w:hAnsi="宋体" w:eastAsia="宋体" w:cs="宋体"/>
                <w:i w:val="0"/>
                <w:color w:val="000000"/>
                <w:kern w:val="0"/>
                <w:sz w:val="18"/>
                <w:szCs w:val="18"/>
                <w:u w:val="none"/>
                <w:lang w:val="en-US" w:eastAsia="zh-CN" w:bidi="ar"/>
              </w:rPr>
              <w:t>办案业务用房项目缺陷质保金，根据合同约定该项目已于2019年4月5日缺陷责任期满，现期满予以支付工程质保金。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该项目于2017年5月竣工并投入使用，按照合同约定缺陷责任期为24个月，目前缺陷责任期已满，予以支付该项目工程质保金。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开展教育宣传活动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人次</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34500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投资总额</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9336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9336</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修建面积</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13300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平米</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13300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使用年限</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本项目预算执行率为100%，项目建成后已开展了34500场廉政教育活动，投资总额达9336万元，修建面积13300平米，满意度达到95%，项目自评总分100分，项目的建成为党性教育、廉洁教育、廉政教育提供了重要阵地，也为办案安全提供了坚强的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项目负责人：黄凯</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51030022Y000000322318-市纪委办案工作经费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保障执纪审查，及时追缴违纪款，保证政治生态持续良好。</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2022年问题线索处置率100%，谈话函询率99.1%，结案率96.3%，没有发生办案安全事故事件，全市政治生态持续向好，审查调查工作实现了政治效果、纪法效果、社会效果相统一。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办案工作经费主要用于办案过程中所需录音录像刻录硬盘购买，公安看护人员、驻点医务人员、驻点监督人员公杂费等办案过程所需费用的保障，采取定期或不定期进行支付。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202.72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202.72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谈话函询率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99.1</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结案率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96.3</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安全指标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办案安全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政治生态持续良好</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开展反腐败工作</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度办案工作经费的及时足额落实到位，为我市执纪审查和监察调查各项工作有力、有序推进提供了强有力保障，大大激发了工作积极性，进一步促进了审查调查工作高质量发展，有利于进一步净化全市政治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由于工作头绪多、人手不足的原因，有时经费兑现及时性还存在一定的差距。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每月定人、定时负责经费发放工作，确保经费及时兑现到位。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项目负责人：吴海平</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51030022T000007461840-市纪委监委--非税征收管理项目（管理）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自贡市纪委监委廉政教育中心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了保持反腐高压态势，保证留置中心顺利开展工作，完成留置中心日常管理、后勤保障、安全保卫等工作，强化纪律保障，提高群众满意度。开展室外篮球场、羽毛球场及健身房的改造项目，适度增加健身器材，缓解驻点工作人员、公安辅警人员工作压力，满足公安辅警人员日常综合体能达标考核训练要求。</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w:t>
            </w:r>
            <w:r>
              <w:rPr>
                <w:rFonts w:hint="eastAsia" w:ascii="宋体" w:hAnsi="宋体" w:eastAsia="宋体" w:cs="宋体"/>
                <w:i w:val="0"/>
                <w:color w:val="000000"/>
                <w:kern w:val="0"/>
                <w:sz w:val="18"/>
                <w:szCs w:val="18"/>
                <w:u w:val="none"/>
                <w:lang w:val="en-US" w:eastAsia="zh-CN" w:bidi="ar"/>
              </w:rPr>
              <w:t>廉政教育</w:t>
            </w:r>
            <w:r>
              <w:rPr>
                <w:rFonts w:ascii="宋体" w:hAnsi="宋体" w:eastAsia="宋体" w:cs="宋体"/>
                <w:i w:val="0"/>
                <w:color w:val="000000"/>
                <w:kern w:val="0"/>
                <w:sz w:val="18"/>
                <w:szCs w:val="18"/>
                <w:u w:val="none"/>
                <w:lang w:val="en-US" w:eastAsia="zh-CN" w:bidi="ar"/>
              </w:rPr>
              <w:t>中心日常管理、后勤保障、安全保卫等工作，强化纪律保障，提高群众满意度，保障留置场所安全运行；建设篮球场、羽毛球场、健身房能基本满足公安看护人员综合体能达标考核训练要求，确保办案留置场所稳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廉政教育</w:t>
            </w:r>
            <w:r>
              <w:rPr>
                <w:rFonts w:ascii="宋体" w:hAnsi="宋体" w:eastAsia="宋体" w:cs="宋体"/>
                <w:i w:val="0"/>
                <w:color w:val="000000"/>
                <w:kern w:val="0"/>
                <w:sz w:val="18"/>
                <w:szCs w:val="18"/>
                <w:u w:val="none"/>
                <w:lang w:val="en-US" w:eastAsia="zh-CN" w:bidi="ar"/>
              </w:rPr>
              <w:t>中心的日常管理、后勤保障、安全保卫等工作。室外篮球场、羽毛球场改造以及室内健身房装修均已完成，配备了适当的健身器材。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预算调整其一是因为留置对象的增加，导致运转经费增加；其二是因为中心篮球场、羽毛球场、健身房设施设备陈旧，需要重新装修改造。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收置留置对象，为专案组、看护队伍、留置对象提供后勤保障</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保障留置场所日常运转，守住审查调查安全底线</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项目预期两个月内完工，并投入使用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月</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可持续影响指标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保障我市良好政治生态</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专案组和看护人员满意度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该项目总投资198.72万元，预算执行率为100%，该项目包括留置场所篮球场羽毛球场改造、健身房装修以及留置场所后勤保障费用，满足在点办案人员的健身需求和公安看护人员的综合体能达标考核训练要求，保障了留置场所的日常运转，守住审查调查的安全底线，专案组和看护人员满意度达到90%，项目自评总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项目负责人：黄凯</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51030022Y000000341892-廉政教育中心运转经费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自贡市纪委监委廉政教育中心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完成党风廉政建设和社会服务保障工作；完成干部教育培训基地的管理服务工作；完成廉政教育中心日常管理、后勤保障、安全保卫等工作。</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完成党风廉政建设和社会服务保障工作；完成干部教育培训基地的管理服务工作；完成廉政教育中心日常管理、后勤保障、安全保卫等工作。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保障展厅水电设备的基本运转，承接各类国营企事业单位党员干部廉政教育培训；保障市纪委监委留置办案场所基本运转。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263.20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236.65</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236.65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263.20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236.65</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236.65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廉政教育参观场次</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场次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效果指标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廉政教育覆盖率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安全指标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办案安全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对廉政教育的促进作用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可持续影响指标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廉政教育效果</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廉政教育满意度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本项目是为了保障展厅和留置场所的基本运转，预算执行率为100%，廉政教育场次完成120场次，廉政教育覆盖率达到100%，办案安全达到100%，廉政教育效果良好，满意度达到95%，项目自评总分为100分。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项目负责人：黄凯</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51030023Y000008195369-廉政教育中心政治生态建设社会评价工作专项经费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自贡市纪委监委廉政教育中心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深入开展政治生态建设和营商环境调研第三方测评，收集掌握群众最期盼解决的政治生态方面的问题和改进政治生态建设工作的意见和建议，推动巩固发展良好政治生态。</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项目方案要求的工作任务，有序督促第三方机构开展测评，每半月收集、汇总、反馈群众意见建议，市党廉办及时整理问题和意见建议，分类分层督促市级部门（单位）、县（区）限期整改，同时做好整改情况公开和对群众的解释沟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推动各级认真履行管党治党政治责任，纵深推进全面从严治党，巩固发展风清气正的良好政治生态，持续提升群众满意度获得感，按照市党廉办有关工作要求，在全市开展政治生态建设和营商环境调研第三方测评，对73个市级部门（单位）开展7个方面（履行主体责任、依法履职、为民服务、清正廉洁、改进作风、营商环境和接受监督）、91个乡镇（街道）开展9个方面（政治生态建设成效、惩治贪污腐败力度、人民群众满意情况、为群众办实事成效、党员干部清正廉洁、选人用人风气清正、当地干部作风情况、优化营商环境情况、纪委监委履责情况）指标的满意度测评。</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项目分为四个阶段实施：准备阶段（2022年8月20日以前）制作测评方案，确定实施测评的第三方机构；实施阶段（2022年8月21日—11月30日）开展测评；汇总阶段（2022年12月1日—12月31日）根据测评情况汇总计算得分；结果运用阶段（2023年1月），测评结果纳入对高新区、各县（区）、市级部门（单位）2022年度党风廉政建设责任制考核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调查范围覆盖乡镇（街道）</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调查范围覆盖所有市级部门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电话访问调查样本</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5825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社会公众满意度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项目自评100分，主要结论进一步推动全市各级各部门认真履行管党治党政治责任，不断提高群众的满意度、获得感、幸福感。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项目负责人：吴婷婷</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bl>
    <w:p>
      <w:pPr>
        <w:rPr>
          <w:rFonts w:hint="eastAsia" w:ascii="Times New Roman" w:hAnsi="Times New Roman" w:eastAsia="黑体" w:cs="黑体"/>
          <w:kern w:val="2"/>
          <w:sz w:val="32"/>
          <w:szCs w:val="24"/>
          <w:lang w:val="en-US" w:eastAsia="zh-CN" w:bidi="ar"/>
        </w:rPr>
      </w:pPr>
      <w:r>
        <w:rPr>
          <w:rFonts w:hint="eastAsia" w:ascii="Times New Roman" w:hAnsi="Times New Roman" w:eastAsia="黑体" w:cs="黑体"/>
          <w:kern w:val="2"/>
          <w:sz w:val="32"/>
          <w:szCs w:val="24"/>
          <w:lang w:val="en-US" w:eastAsia="zh-CN" w:bidi="ar"/>
        </w:rPr>
        <w:br w:type="page"/>
      </w:r>
    </w:p>
    <w:bookmarkEnd w:id="193"/>
    <w:p>
      <w:pPr>
        <w:pStyle w:val="5"/>
        <w:jc w:val="center"/>
        <w:rPr>
          <w:rFonts w:hint="eastAsia" w:ascii="黑体" w:hAnsi="黑体" w:eastAsia="黑体"/>
          <w:b w:val="0"/>
          <w:lang w:val="en-US" w:eastAsia="zh-CN"/>
        </w:rPr>
      </w:pPr>
      <w:bookmarkStart w:id="260" w:name="_Toc4851"/>
      <w:bookmarkStart w:id="261" w:name="_Toc31444"/>
      <w:bookmarkStart w:id="262" w:name="_Toc15396618"/>
      <w:r>
        <w:rPr>
          <w:rFonts w:hint="eastAsia" w:ascii="黑体" w:hAnsi="黑体" w:eastAsia="黑体"/>
          <w:b w:val="0"/>
          <w:lang w:val="en-US" w:eastAsia="zh-CN"/>
        </w:rPr>
        <w:t>第五部分 附表</w:t>
      </w:r>
      <w:bookmarkEnd w:id="260"/>
      <w:bookmarkEnd w:id="261"/>
      <w:bookmarkEnd w:id="262"/>
      <w:bookmarkStart w:id="263" w:name="_Toc5286"/>
    </w:p>
    <w:p>
      <w:pPr>
        <w:pStyle w:val="6"/>
        <w:rPr>
          <w:rFonts w:hint="eastAsia" w:ascii="仿宋" w:hAnsi="仿宋" w:eastAsia="仿宋"/>
          <w:b w:val="0"/>
          <w:color w:val="auto"/>
          <w:highlight w:val="none"/>
          <w:lang w:val="en-US" w:eastAsia="zh-CN"/>
        </w:rPr>
      </w:pPr>
      <w:bookmarkStart w:id="264" w:name="_Toc26031"/>
      <w:r>
        <w:rPr>
          <w:rFonts w:hint="eastAsia" w:ascii="仿宋" w:hAnsi="仿宋" w:eastAsia="仿宋"/>
          <w:b w:val="0"/>
          <w:color w:val="auto"/>
          <w:highlight w:val="none"/>
          <w:lang w:val="en-US" w:eastAsia="zh-CN"/>
        </w:rPr>
        <w:t>一、收入支出决算总表</w:t>
      </w:r>
      <w:bookmarkEnd w:id="263"/>
      <w:bookmarkEnd w:id="264"/>
    </w:p>
    <w:p>
      <w:pPr>
        <w:pStyle w:val="6"/>
        <w:rPr>
          <w:rFonts w:hint="eastAsia" w:ascii="仿宋" w:hAnsi="仿宋" w:eastAsia="仿宋"/>
          <w:b w:val="0"/>
          <w:color w:val="auto"/>
          <w:highlight w:val="none"/>
          <w:lang w:val="en-US" w:eastAsia="zh-CN"/>
        </w:rPr>
      </w:pPr>
      <w:bookmarkStart w:id="265" w:name="_Toc22136"/>
      <w:bookmarkStart w:id="266" w:name="_Toc15396620"/>
      <w:bookmarkStart w:id="267" w:name="_Toc8158"/>
      <w:r>
        <w:rPr>
          <w:rFonts w:hint="eastAsia" w:ascii="仿宋" w:hAnsi="仿宋" w:eastAsia="仿宋"/>
          <w:b w:val="0"/>
          <w:color w:val="auto"/>
          <w:highlight w:val="none"/>
          <w:lang w:val="en-US" w:eastAsia="zh-CN"/>
        </w:rPr>
        <w:t>二、收入决算表</w:t>
      </w:r>
      <w:bookmarkEnd w:id="265"/>
      <w:bookmarkEnd w:id="266"/>
      <w:bookmarkEnd w:id="267"/>
    </w:p>
    <w:p>
      <w:pPr>
        <w:pStyle w:val="6"/>
        <w:rPr>
          <w:rFonts w:hint="eastAsia" w:ascii="仿宋" w:hAnsi="仿宋" w:eastAsia="仿宋"/>
          <w:b w:val="0"/>
          <w:color w:val="auto"/>
          <w:highlight w:val="none"/>
          <w:lang w:val="en-US" w:eastAsia="zh-CN"/>
        </w:rPr>
      </w:pPr>
      <w:bookmarkStart w:id="268" w:name="_Toc26012"/>
      <w:bookmarkStart w:id="269" w:name="_Toc25364"/>
      <w:bookmarkStart w:id="270" w:name="_Toc15396621"/>
      <w:r>
        <w:rPr>
          <w:rFonts w:hint="eastAsia" w:ascii="仿宋" w:hAnsi="仿宋" w:eastAsia="仿宋"/>
          <w:b w:val="0"/>
          <w:color w:val="auto"/>
          <w:highlight w:val="none"/>
          <w:lang w:val="en-US" w:eastAsia="zh-CN"/>
        </w:rPr>
        <w:t>三、支出决算表</w:t>
      </w:r>
      <w:bookmarkEnd w:id="268"/>
      <w:bookmarkEnd w:id="269"/>
      <w:bookmarkEnd w:id="270"/>
    </w:p>
    <w:p>
      <w:pPr>
        <w:pStyle w:val="6"/>
        <w:rPr>
          <w:rFonts w:hint="eastAsia" w:ascii="仿宋" w:hAnsi="仿宋" w:eastAsia="仿宋"/>
          <w:b w:val="0"/>
          <w:color w:val="auto"/>
          <w:highlight w:val="none"/>
          <w:lang w:val="en-US" w:eastAsia="zh-CN"/>
        </w:rPr>
      </w:pPr>
      <w:bookmarkStart w:id="271" w:name="_Toc18909"/>
      <w:bookmarkStart w:id="272" w:name="_Toc4747"/>
      <w:bookmarkStart w:id="273" w:name="_Toc15396622"/>
      <w:r>
        <w:rPr>
          <w:rFonts w:hint="eastAsia" w:ascii="仿宋" w:hAnsi="仿宋" w:eastAsia="仿宋"/>
          <w:b w:val="0"/>
          <w:color w:val="auto"/>
          <w:highlight w:val="none"/>
          <w:lang w:val="en-US" w:eastAsia="zh-CN"/>
        </w:rPr>
        <w:t>四、财政拨款收入支出决算总表</w:t>
      </w:r>
      <w:bookmarkEnd w:id="271"/>
      <w:bookmarkEnd w:id="272"/>
      <w:bookmarkEnd w:id="273"/>
    </w:p>
    <w:p>
      <w:pPr>
        <w:pStyle w:val="6"/>
        <w:rPr>
          <w:rFonts w:hint="eastAsia" w:ascii="仿宋" w:hAnsi="仿宋" w:eastAsia="仿宋"/>
          <w:b w:val="0"/>
          <w:color w:val="auto"/>
          <w:highlight w:val="none"/>
          <w:lang w:val="en-US" w:eastAsia="zh-CN"/>
        </w:rPr>
      </w:pPr>
      <w:bookmarkStart w:id="274" w:name="_Toc15396623"/>
      <w:bookmarkStart w:id="275" w:name="_Toc31130"/>
      <w:bookmarkStart w:id="276" w:name="_Toc28084"/>
      <w:r>
        <w:rPr>
          <w:rFonts w:hint="eastAsia" w:ascii="仿宋" w:hAnsi="仿宋" w:eastAsia="仿宋"/>
          <w:b w:val="0"/>
          <w:color w:val="auto"/>
          <w:highlight w:val="none"/>
          <w:lang w:val="en-US" w:eastAsia="zh-CN"/>
        </w:rPr>
        <w:t>五、财政拨款支出决算明细表</w:t>
      </w:r>
      <w:bookmarkEnd w:id="274"/>
      <w:bookmarkEnd w:id="275"/>
      <w:bookmarkEnd w:id="276"/>
      <w:bookmarkStart w:id="277" w:name="_Toc15396624"/>
    </w:p>
    <w:p>
      <w:pPr>
        <w:pStyle w:val="6"/>
        <w:rPr>
          <w:rFonts w:hint="eastAsia" w:ascii="仿宋" w:hAnsi="仿宋" w:eastAsia="仿宋"/>
          <w:b w:val="0"/>
          <w:color w:val="auto"/>
          <w:highlight w:val="none"/>
          <w:lang w:val="en-US" w:eastAsia="zh-CN"/>
        </w:rPr>
      </w:pPr>
      <w:bookmarkStart w:id="278" w:name="_Toc9026"/>
      <w:bookmarkStart w:id="279" w:name="_Toc7698"/>
      <w:r>
        <w:rPr>
          <w:rFonts w:hint="eastAsia" w:ascii="仿宋" w:hAnsi="仿宋" w:eastAsia="仿宋"/>
          <w:b w:val="0"/>
          <w:color w:val="auto"/>
          <w:highlight w:val="none"/>
          <w:lang w:val="en-US" w:eastAsia="zh-CN"/>
        </w:rPr>
        <w:t>六、一般公共预算财政拨款支出决算表</w:t>
      </w:r>
      <w:bookmarkEnd w:id="277"/>
      <w:bookmarkEnd w:id="278"/>
      <w:bookmarkEnd w:id="279"/>
    </w:p>
    <w:p>
      <w:pPr>
        <w:pStyle w:val="6"/>
        <w:rPr>
          <w:rFonts w:hint="eastAsia" w:ascii="仿宋" w:hAnsi="仿宋" w:eastAsia="仿宋"/>
          <w:b w:val="0"/>
          <w:color w:val="auto"/>
          <w:highlight w:val="none"/>
          <w:lang w:val="en-US" w:eastAsia="zh-CN"/>
        </w:rPr>
      </w:pPr>
      <w:bookmarkStart w:id="280" w:name="_Toc25198"/>
      <w:bookmarkStart w:id="281" w:name="_Toc15396625"/>
      <w:bookmarkStart w:id="282" w:name="_Toc31249"/>
      <w:r>
        <w:rPr>
          <w:rFonts w:hint="eastAsia" w:ascii="仿宋" w:hAnsi="仿宋" w:eastAsia="仿宋"/>
          <w:b w:val="0"/>
          <w:color w:val="auto"/>
          <w:highlight w:val="none"/>
          <w:lang w:val="en-US" w:eastAsia="zh-CN"/>
        </w:rPr>
        <w:t>七、一般公共预算财政拨款支出决算明细表</w:t>
      </w:r>
      <w:bookmarkEnd w:id="280"/>
      <w:bookmarkEnd w:id="281"/>
      <w:bookmarkEnd w:id="282"/>
    </w:p>
    <w:p>
      <w:pPr>
        <w:pStyle w:val="6"/>
        <w:rPr>
          <w:rFonts w:hint="eastAsia" w:ascii="仿宋" w:hAnsi="仿宋" w:eastAsia="仿宋"/>
          <w:b w:val="0"/>
          <w:color w:val="auto"/>
          <w:highlight w:val="none"/>
          <w:lang w:val="en-US" w:eastAsia="zh-CN"/>
        </w:rPr>
      </w:pPr>
      <w:bookmarkStart w:id="283" w:name="_Toc7317"/>
      <w:bookmarkStart w:id="284" w:name="_Toc15396626"/>
      <w:bookmarkStart w:id="285" w:name="_Toc9877"/>
      <w:r>
        <w:rPr>
          <w:rFonts w:hint="eastAsia" w:ascii="仿宋" w:hAnsi="仿宋" w:eastAsia="仿宋"/>
          <w:b w:val="0"/>
          <w:color w:val="auto"/>
          <w:highlight w:val="none"/>
          <w:lang w:val="en-US" w:eastAsia="zh-CN"/>
        </w:rPr>
        <w:t>八、一般公共预算财政拨款基本支出决算表</w:t>
      </w:r>
      <w:bookmarkEnd w:id="283"/>
      <w:bookmarkEnd w:id="284"/>
      <w:bookmarkEnd w:id="285"/>
    </w:p>
    <w:p>
      <w:pPr>
        <w:pStyle w:val="6"/>
        <w:rPr>
          <w:rFonts w:hint="eastAsia" w:ascii="仿宋" w:hAnsi="仿宋" w:eastAsia="仿宋"/>
          <w:b w:val="0"/>
          <w:color w:val="auto"/>
          <w:highlight w:val="none"/>
          <w:lang w:val="en-US" w:eastAsia="zh-CN"/>
        </w:rPr>
      </w:pPr>
      <w:bookmarkStart w:id="286" w:name="_Toc12683"/>
      <w:bookmarkStart w:id="287" w:name="_Toc15396627"/>
      <w:bookmarkStart w:id="288" w:name="_Toc6515"/>
      <w:r>
        <w:rPr>
          <w:rFonts w:hint="eastAsia" w:ascii="仿宋" w:hAnsi="仿宋" w:eastAsia="仿宋"/>
          <w:b w:val="0"/>
          <w:color w:val="auto"/>
          <w:highlight w:val="none"/>
          <w:lang w:val="en-US" w:eastAsia="zh-CN"/>
        </w:rPr>
        <w:t>九、一般公共预算财政拨款项目支出决算表</w:t>
      </w:r>
      <w:bookmarkEnd w:id="286"/>
      <w:bookmarkEnd w:id="287"/>
      <w:bookmarkEnd w:id="288"/>
    </w:p>
    <w:p>
      <w:pPr>
        <w:pStyle w:val="6"/>
        <w:rPr>
          <w:rFonts w:hint="eastAsia" w:ascii="仿宋" w:hAnsi="仿宋" w:eastAsia="仿宋"/>
          <w:b w:val="0"/>
          <w:color w:val="auto"/>
          <w:highlight w:val="none"/>
          <w:lang w:val="en-US" w:eastAsia="zh-CN"/>
        </w:rPr>
      </w:pPr>
      <w:bookmarkStart w:id="289" w:name="_Toc15396628"/>
      <w:bookmarkStart w:id="290" w:name="_Toc13593"/>
      <w:bookmarkStart w:id="291" w:name="_Toc7620"/>
      <w:r>
        <w:rPr>
          <w:rFonts w:hint="eastAsia" w:ascii="仿宋" w:hAnsi="仿宋" w:eastAsia="仿宋"/>
          <w:b w:val="0"/>
          <w:color w:val="auto"/>
          <w:highlight w:val="none"/>
          <w:lang w:val="en-US" w:eastAsia="zh-CN"/>
        </w:rPr>
        <w:t>十、</w:t>
      </w:r>
      <w:bookmarkEnd w:id="289"/>
      <w:r>
        <w:rPr>
          <w:rFonts w:hint="eastAsia" w:ascii="仿宋" w:hAnsi="仿宋" w:eastAsia="仿宋"/>
          <w:b w:val="0"/>
          <w:color w:val="auto"/>
          <w:highlight w:val="none"/>
          <w:lang w:val="en-US" w:eastAsia="zh-CN"/>
        </w:rPr>
        <w:t>政府性基金预算财政拨款收入支出决算表</w:t>
      </w:r>
      <w:bookmarkEnd w:id="290"/>
      <w:bookmarkEnd w:id="291"/>
    </w:p>
    <w:p>
      <w:pPr>
        <w:pStyle w:val="6"/>
        <w:rPr>
          <w:rFonts w:hint="eastAsia" w:ascii="仿宋" w:hAnsi="仿宋" w:eastAsia="仿宋"/>
          <w:b w:val="0"/>
          <w:color w:val="auto"/>
          <w:highlight w:val="none"/>
          <w:lang w:val="en-US" w:eastAsia="zh-CN"/>
        </w:rPr>
      </w:pPr>
      <w:bookmarkStart w:id="292" w:name="_Toc15396629"/>
      <w:bookmarkStart w:id="293" w:name="_Toc32015"/>
      <w:bookmarkStart w:id="294" w:name="_Toc26497"/>
      <w:r>
        <w:rPr>
          <w:rFonts w:hint="eastAsia" w:ascii="仿宋" w:hAnsi="仿宋" w:eastAsia="仿宋"/>
          <w:b w:val="0"/>
          <w:color w:val="auto"/>
          <w:highlight w:val="none"/>
          <w:lang w:val="en-US" w:eastAsia="zh-CN"/>
        </w:rPr>
        <w:t>十一、</w:t>
      </w:r>
      <w:bookmarkEnd w:id="292"/>
      <w:r>
        <w:rPr>
          <w:rFonts w:hint="eastAsia" w:ascii="仿宋" w:hAnsi="仿宋" w:eastAsia="仿宋"/>
          <w:b w:val="0"/>
          <w:color w:val="auto"/>
          <w:highlight w:val="none"/>
          <w:lang w:val="en-US" w:eastAsia="zh-CN"/>
        </w:rPr>
        <w:t>国有资本经营预算财政拨款收入支出决算表</w:t>
      </w:r>
      <w:bookmarkEnd w:id="293"/>
      <w:bookmarkEnd w:id="294"/>
    </w:p>
    <w:p>
      <w:pPr>
        <w:pStyle w:val="6"/>
        <w:rPr>
          <w:rFonts w:hint="eastAsia" w:ascii="仿宋" w:hAnsi="仿宋" w:eastAsia="仿宋"/>
          <w:b w:val="0"/>
          <w:color w:val="auto"/>
          <w:highlight w:val="none"/>
          <w:lang w:val="en-US" w:eastAsia="zh-CN"/>
        </w:rPr>
      </w:pPr>
      <w:bookmarkStart w:id="295" w:name="_Toc15396630"/>
      <w:bookmarkStart w:id="296" w:name="_Toc28654"/>
      <w:bookmarkStart w:id="297" w:name="_Toc11639"/>
      <w:r>
        <w:rPr>
          <w:rFonts w:hint="eastAsia" w:ascii="仿宋" w:hAnsi="仿宋" w:eastAsia="仿宋"/>
          <w:b w:val="0"/>
          <w:color w:val="auto"/>
          <w:highlight w:val="none"/>
          <w:lang w:val="en-US" w:eastAsia="zh-CN"/>
        </w:rPr>
        <w:t>十二、</w:t>
      </w:r>
      <w:bookmarkEnd w:id="295"/>
      <w:r>
        <w:rPr>
          <w:rFonts w:hint="eastAsia" w:ascii="仿宋" w:hAnsi="仿宋" w:eastAsia="仿宋"/>
          <w:b w:val="0"/>
          <w:color w:val="auto"/>
          <w:highlight w:val="none"/>
          <w:lang w:val="en-US" w:eastAsia="zh-CN"/>
        </w:rPr>
        <w:t>国有资本经营预算财政拨款支出决算表</w:t>
      </w:r>
      <w:bookmarkEnd w:id="296"/>
      <w:bookmarkEnd w:id="297"/>
    </w:p>
    <w:p>
      <w:pPr>
        <w:pStyle w:val="6"/>
        <w:rPr>
          <w:rFonts w:hint="eastAsia" w:ascii="仿宋" w:hAnsi="仿宋" w:eastAsia="仿宋"/>
          <w:b w:val="0"/>
          <w:color w:val="auto"/>
          <w:highlight w:val="none"/>
          <w:lang w:val="en-US" w:eastAsia="zh-CN"/>
        </w:rPr>
      </w:pPr>
      <w:bookmarkStart w:id="298" w:name="_Toc15396631"/>
      <w:bookmarkStart w:id="299" w:name="_Toc10409"/>
      <w:bookmarkStart w:id="300" w:name="_Toc17109"/>
      <w:r>
        <w:rPr>
          <w:rFonts w:hint="eastAsia" w:ascii="仿宋" w:hAnsi="仿宋" w:eastAsia="仿宋"/>
          <w:b w:val="0"/>
          <w:color w:val="auto"/>
          <w:highlight w:val="none"/>
          <w:lang w:val="en-US" w:eastAsia="zh-CN"/>
        </w:rPr>
        <w:t>十三、</w:t>
      </w:r>
      <w:bookmarkEnd w:id="298"/>
      <w:r>
        <w:rPr>
          <w:rFonts w:hint="eastAsia" w:ascii="仿宋" w:hAnsi="仿宋" w:eastAsia="仿宋"/>
          <w:b w:val="0"/>
          <w:color w:val="auto"/>
          <w:highlight w:val="none"/>
          <w:lang w:val="en-US" w:eastAsia="zh-CN"/>
        </w:rPr>
        <w:t>财政拨款“三公”经费支出决算表</w:t>
      </w:r>
      <w:bookmarkEnd w:id="299"/>
      <w:bookmarkEnd w:id="300"/>
    </w:p>
    <w:sectPr>
      <w:footerReference r:id="rId4" w:type="default"/>
      <w:pgSz w:w="11906" w:h="16838"/>
      <w:pgMar w:top="1440" w:right="1800" w:bottom="1440" w:left="1800" w:header="851" w:footer="992" w:gutter="0"/>
      <w:pgNumType w:fmt="decimal" w:start="2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Times Newer Roman">
    <w:altName w:val="Segoe Print"/>
    <w:panose1 w:val="00000500000000000000"/>
    <w:charset w:val="00"/>
    <w:family w:val="auto"/>
    <w:pitch w:val="default"/>
    <w:sig w:usb0="00000000"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4078C"/>
    <w:rsid w:val="00095C6D"/>
    <w:rsid w:val="005851BF"/>
    <w:rsid w:val="006D7376"/>
    <w:rsid w:val="00DD0AF7"/>
    <w:rsid w:val="02023B37"/>
    <w:rsid w:val="021D0767"/>
    <w:rsid w:val="031652E5"/>
    <w:rsid w:val="032B7066"/>
    <w:rsid w:val="03C14F43"/>
    <w:rsid w:val="048C1257"/>
    <w:rsid w:val="048F1FA7"/>
    <w:rsid w:val="05725AD3"/>
    <w:rsid w:val="05C37490"/>
    <w:rsid w:val="06D96529"/>
    <w:rsid w:val="071E266E"/>
    <w:rsid w:val="07971B8F"/>
    <w:rsid w:val="07B14C6F"/>
    <w:rsid w:val="07B36824"/>
    <w:rsid w:val="08107EA9"/>
    <w:rsid w:val="08427656"/>
    <w:rsid w:val="08730E05"/>
    <w:rsid w:val="08B44515"/>
    <w:rsid w:val="08E763D4"/>
    <w:rsid w:val="08EE7378"/>
    <w:rsid w:val="095D70A1"/>
    <w:rsid w:val="09DC3F2B"/>
    <w:rsid w:val="0A3F4FB0"/>
    <w:rsid w:val="0A502018"/>
    <w:rsid w:val="0AA87638"/>
    <w:rsid w:val="0ACA5877"/>
    <w:rsid w:val="0ADF2761"/>
    <w:rsid w:val="0B161FFB"/>
    <w:rsid w:val="0BB73CAF"/>
    <w:rsid w:val="0C852850"/>
    <w:rsid w:val="0D8676E1"/>
    <w:rsid w:val="0D8B2009"/>
    <w:rsid w:val="0DD82572"/>
    <w:rsid w:val="0E0D432F"/>
    <w:rsid w:val="0E102E60"/>
    <w:rsid w:val="0F0136E3"/>
    <w:rsid w:val="0F182697"/>
    <w:rsid w:val="0F3F06C8"/>
    <w:rsid w:val="0FDE13B2"/>
    <w:rsid w:val="0FF04A6B"/>
    <w:rsid w:val="101F7EFC"/>
    <w:rsid w:val="10753A0C"/>
    <w:rsid w:val="10AD043C"/>
    <w:rsid w:val="10B0539C"/>
    <w:rsid w:val="118D44E1"/>
    <w:rsid w:val="11B8545E"/>
    <w:rsid w:val="11F204AC"/>
    <w:rsid w:val="12807DF6"/>
    <w:rsid w:val="133B7203"/>
    <w:rsid w:val="133B7DE1"/>
    <w:rsid w:val="1346116C"/>
    <w:rsid w:val="136F4627"/>
    <w:rsid w:val="138644C0"/>
    <w:rsid w:val="15110CA6"/>
    <w:rsid w:val="163314C3"/>
    <w:rsid w:val="164A7C70"/>
    <w:rsid w:val="164B43AA"/>
    <w:rsid w:val="16964A27"/>
    <w:rsid w:val="16997DDC"/>
    <w:rsid w:val="17C2197D"/>
    <w:rsid w:val="18936988"/>
    <w:rsid w:val="18A621DE"/>
    <w:rsid w:val="18AE6791"/>
    <w:rsid w:val="193D7A99"/>
    <w:rsid w:val="1A0C6810"/>
    <w:rsid w:val="1A6F4CAE"/>
    <w:rsid w:val="1A9C11DF"/>
    <w:rsid w:val="1AA045C8"/>
    <w:rsid w:val="1AE91A78"/>
    <w:rsid w:val="1B2F2B0E"/>
    <w:rsid w:val="1B562E53"/>
    <w:rsid w:val="1BBC3140"/>
    <w:rsid w:val="1C5844EC"/>
    <w:rsid w:val="1C5D36AF"/>
    <w:rsid w:val="1C673550"/>
    <w:rsid w:val="1CB23660"/>
    <w:rsid w:val="1CB377A2"/>
    <w:rsid w:val="1D2C7977"/>
    <w:rsid w:val="1D9E1826"/>
    <w:rsid w:val="1DA369D0"/>
    <w:rsid w:val="1DCE6AEA"/>
    <w:rsid w:val="1DF3231C"/>
    <w:rsid w:val="1E56629D"/>
    <w:rsid w:val="1E81324D"/>
    <w:rsid w:val="1ED15843"/>
    <w:rsid w:val="1EF7441C"/>
    <w:rsid w:val="1F3D5C6A"/>
    <w:rsid w:val="1F8F416E"/>
    <w:rsid w:val="1FAE4052"/>
    <w:rsid w:val="1FCB3AFD"/>
    <w:rsid w:val="1FD81D32"/>
    <w:rsid w:val="1FF75CE6"/>
    <w:rsid w:val="210125BB"/>
    <w:rsid w:val="21186BC1"/>
    <w:rsid w:val="214756DC"/>
    <w:rsid w:val="21A27431"/>
    <w:rsid w:val="21CF37F6"/>
    <w:rsid w:val="21E87A77"/>
    <w:rsid w:val="22A91525"/>
    <w:rsid w:val="22BC0985"/>
    <w:rsid w:val="239633CD"/>
    <w:rsid w:val="24490970"/>
    <w:rsid w:val="248B693A"/>
    <w:rsid w:val="248C0C79"/>
    <w:rsid w:val="24ED7E32"/>
    <w:rsid w:val="253612EE"/>
    <w:rsid w:val="259D76C1"/>
    <w:rsid w:val="267C3C8B"/>
    <w:rsid w:val="26846FA1"/>
    <w:rsid w:val="268835ED"/>
    <w:rsid w:val="268E3173"/>
    <w:rsid w:val="27135D54"/>
    <w:rsid w:val="28723FC3"/>
    <w:rsid w:val="28D745D6"/>
    <w:rsid w:val="297637B1"/>
    <w:rsid w:val="29A73027"/>
    <w:rsid w:val="29C52BF3"/>
    <w:rsid w:val="2A247E6D"/>
    <w:rsid w:val="2AAB1036"/>
    <w:rsid w:val="2B1A775A"/>
    <w:rsid w:val="2B2A2F14"/>
    <w:rsid w:val="2B8A7919"/>
    <w:rsid w:val="2BD472E4"/>
    <w:rsid w:val="2C7E3604"/>
    <w:rsid w:val="2CFA7BC9"/>
    <w:rsid w:val="2DE0461F"/>
    <w:rsid w:val="2E716720"/>
    <w:rsid w:val="2E7A772D"/>
    <w:rsid w:val="2E7C2196"/>
    <w:rsid w:val="2E970E4B"/>
    <w:rsid w:val="2EE036A3"/>
    <w:rsid w:val="2F0A133A"/>
    <w:rsid w:val="2F7E1358"/>
    <w:rsid w:val="3011205A"/>
    <w:rsid w:val="301D5F39"/>
    <w:rsid w:val="31462B29"/>
    <w:rsid w:val="31576916"/>
    <w:rsid w:val="31713204"/>
    <w:rsid w:val="317C1EBA"/>
    <w:rsid w:val="31A553A8"/>
    <w:rsid w:val="31D5449C"/>
    <w:rsid w:val="31D57D23"/>
    <w:rsid w:val="321A3E68"/>
    <w:rsid w:val="321C3590"/>
    <w:rsid w:val="32623325"/>
    <w:rsid w:val="327A7FB0"/>
    <w:rsid w:val="33D74496"/>
    <w:rsid w:val="33EA0A8A"/>
    <w:rsid w:val="34226AFA"/>
    <w:rsid w:val="34E67669"/>
    <w:rsid w:val="35376563"/>
    <w:rsid w:val="35A25B3C"/>
    <w:rsid w:val="35BA73CF"/>
    <w:rsid w:val="35D44682"/>
    <w:rsid w:val="37035261"/>
    <w:rsid w:val="37AD075C"/>
    <w:rsid w:val="38E37278"/>
    <w:rsid w:val="394109EB"/>
    <w:rsid w:val="398C00E6"/>
    <w:rsid w:val="3A4F793F"/>
    <w:rsid w:val="3A592E2C"/>
    <w:rsid w:val="3AA107CB"/>
    <w:rsid w:val="3AE12DDB"/>
    <w:rsid w:val="3AF125A8"/>
    <w:rsid w:val="3AF708AD"/>
    <w:rsid w:val="3B44706F"/>
    <w:rsid w:val="3B8D1876"/>
    <w:rsid w:val="3BFA4630"/>
    <w:rsid w:val="3C1C1752"/>
    <w:rsid w:val="3D0210B6"/>
    <w:rsid w:val="3D4737FB"/>
    <w:rsid w:val="3D7C0974"/>
    <w:rsid w:val="3D9574A3"/>
    <w:rsid w:val="3DB66FE3"/>
    <w:rsid w:val="3E4169FF"/>
    <w:rsid w:val="3ED210B2"/>
    <w:rsid w:val="40416F96"/>
    <w:rsid w:val="40841981"/>
    <w:rsid w:val="40C51767"/>
    <w:rsid w:val="40D562F5"/>
    <w:rsid w:val="40DC4CC1"/>
    <w:rsid w:val="410426C5"/>
    <w:rsid w:val="415D182E"/>
    <w:rsid w:val="419D0704"/>
    <w:rsid w:val="41BE124C"/>
    <w:rsid w:val="4231211F"/>
    <w:rsid w:val="42512405"/>
    <w:rsid w:val="42FA2E7A"/>
    <w:rsid w:val="438464E9"/>
    <w:rsid w:val="43B629E6"/>
    <w:rsid w:val="43FEC932"/>
    <w:rsid w:val="43FF24C7"/>
    <w:rsid w:val="440431E2"/>
    <w:rsid w:val="44240EA4"/>
    <w:rsid w:val="4474730D"/>
    <w:rsid w:val="44B07A2E"/>
    <w:rsid w:val="44BA3753"/>
    <w:rsid w:val="454F3671"/>
    <w:rsid w:val="457C2C11"/>
    <w:rsid w:val="46B16FD4"/>
    <w:rsid w:val="47AD2611"/>
    <w:rsid w:val="47BD46B8"/>
    <w:rsid w:val="47F7564E"/>
    <w:rsid w:val="47FB7A37"/>
    <w:rsid w:val="48231E83"/>
    <w:rsid w:val="486B1F00"/>
    <w:rsid w:val="490E47A5"/>
    <w:rsid w:val="49A57D53"/>
    <w:rsid w:val="4A9C74A0"/>
    <w:rsid w:val="4BB82B53"/>
    <w:rsid w:val="4BEE264D"/>
    <w:rsid w:val="4CAC25C4"/>
    <w:rsid w:val="4CB01C77"/>
    <w:rsid w:val="4D0704CE"/>
    <w:rsid w:val="4D623752"/>
    <w:rsid w:val="4DB869C2"/>
    <w:rsid w:val="4DE615B0"/>
    <w:rsid w:val="4DE878B9"/>
    <w:rsid w:val="4E7F6BF4"/>
    <w:rsid w:val="4EEF4214"/>
    <w:rsid w:val="4EF10DD5"/>
    <w:rsid w:val="4F283F28"/>
    <w:rsid w:val="4FC23F85"/>
    <w:rsid w:val="50894FA9"/>
    <w:rsid w:val="509B4F70"/>
    <w:rsid w:val="50AA5099"/>
    <w:rsid w:val="50DA713E"/>
    <w:rsid w:val="50E3044E"/>
    <w:rsid w:val="511A5E4B"/>
    <w:rsid w:val="5121465B"/>
    <w:rsid w:val="513470DD"/>
    <w:rsid w:val="513E5500"/>
    <w:rsid w:val="514B2A1F"/>
    <w:rsid w:val="518A7FFC"/>
    <w:rsid w:val="524B77C7"/>
    <w:rsid w:val="525F294B"/>
    <w:rsid w:val="528A40F2"/>
    <w:rsid w:val="53511BC6"/>
    <w:rsid w:val="5371514D"/>
    <w:rsid w:val="5372558E"/>
    <w:rsid w:val="53834580"/>
    <w:rsid w:val="53DA5CB3"/>
    <w:rsid w:val="54702271"/>
    <w:rsid w:val="550847C4"/>
    <w:rsid w:val="553C2F07"/>
    <w:rsid w:val="55D02E33"/>
    <w:rsid w:val="56510FCA"/>
    <w:rsid w:val="56B9710A"/>
    <w:rsid w:val="57F044EE"/>
    <w:rsid w:val="58C63BC5"/>
    <w:rsid w:val="591174FC"/>
    <w:rsid w:val="593A4FE1"/>
    <w:rsid w:val="597122CB"/>
    <w:rsid w:val="59764603"/>
    <w:rsid w:val="59C666F6"/>
    <w:rsid w:val="5A012357"/>
    <w:rsid w:val="5A1B60CF"/>
    <w:rsid w:val="5B4B4306"/>
    <w:rsid w:val="5B5E70D8"/>
    <w:rsid w:val="5BB671BC"/>
    <w:rsid w:val="5BE12BEE"/>
    <w:rsid w:val="5C996019"/>
    <w:rsid w:val="5CCB750B"/>
    <w:rsid w:val="5D101821"/>
    <w:rsid w:val="5D2C0750"/>
    <w:rsid w:val="5D3E75DF"/>
    <w:rsid w:val="5D5679E4"/>
    <w:rsid w:val="5DDE3B43"/>
    <w:rsid w:val="5E4D7076"/>
    <w:rsid w:val="5E82342B"/>
    <w:rsid w:val="5E9A2339"/>
    <w:rsid w:val="5ECA1ED6"/>
    <w:rsid w:val="5F466C2F"/>
    <w:rsid w:val="5F8A2A8F"/>
    <w:rsid w:val="5FAC7243"/>
    <w:rsid w:val="604704CE"/>
    <w:rsid w:val="608F75BF"/>
    <w:rsid w:val="60E575BD"/>
    <w:rsid w:val="612419F1"/>
    <w:rsid w:val="61336FD4"/>
    <w:rsid w:val="61D82ED8"/>
    <w:rsid w:val="620D5C73"/>
    <w:rsid w:val="629A39AA"/>
    <w:rsid w:val="62CC0B16"/>
    <w:rsid w:val="62E441A0"/>
    <w:rsid w:val="632D4AD2"/>
    <w:rsid w:val="63AA0B47"/>
    <w:rsid w:val="64497281"/>
    <w:rsid w:val="6504078C"/>
    <w:rsid w:val="652224CF"/>
    <w:rsid w:val="65FFAF84"/>
    <w:rsid w:val="660B7CD0"/>
    <w:rsid w:val="660E6FB7"/>
    <w:rsid w:val="665E4778"/>
    <w:rsid w:val="6660010D"/>
    <w:rsid w:val="669D7295"/>
    <w:rsid w:val="66E41A74"/>
    <w:rsid w:val="67043008"/>
    <w:rsid w:val="671910A8"/>
    <w:rsid w:val="672317E8"/>
    <w:rsid w:val="67BC257E"/>
    <w:rsid w:val="6879454C"/>
    <w:rsid w:val="691B7CDB"/>
    <w:rsid w:val="69401AD9"/>
    <w:rsid w:val="697B59B1"/>
    <w:rsid w:val="699C4C9F"/>
    <w:rsid w:val="69DF1CDC"/>
    <w:rsid w:val="6A147A4E"/>
    <w:rsid w:val="6AC97BF9"/>
    <w:rsid w:val="6AE6685B"/>
    <w:rsid w:val="6AEC0AB4"/>
    <w:rsid w:val="6B8D4003"/>
    <w:rsid w:val="6BAB467E"/>
    <w:rsid w:val="6C926753"/>
    <w:rsid w:val="6D251F1E"/>
    <w:rsid w:val="6D4F7BED"/>
    <w:rsid w:val="6D7E22E5"/>
    <w:rsid w:val="6DA33303"/>
    <w:rsid w:val="6DB16359"/>
    <w:rsid w:val="6DCB1B52"/>
    <w:rsid w:val="6E285133"/>
    <w:rsid w:val="6E311DCE"/>
    <w:rsid w:val="6E8B53DD"/>
    <w:rsid w:val="6EA16E18"/>
    <w:rsid w:val="6EA82038"/>
    <w:rsid w:val="6F141D02"/>
    <w:rsid w:val="6F4F7552"/>
    <w:rsid w:val="6F7169C3"/>
    <w:rsid w:val="6FC15BC0"/>
    <w:rsid w:val="7102708C"/>
    <w:rsid w:val="711075E6"/>
    <w:rsid w:val="71D27D59"/>
    <w:rsid w:val="722C4BE5"/>
    <w:rsid w:val="726E3979"/>
    <w:rsid w:val="731865FF"/>
    <w:rsid w:val="733B752B"/>
    <w:rsid w:val="73973132"/>
    <w:rsid w:val="73B63B5E"/>
    <w:rsid w:val="73CF4C3F"/>
    <w:rsid w:val="73EF795A"/>
    <w:rsid w:val="73FA6016"/>
    <w:rsid w:val="740E1E21"/>
    <w:rsid w:val="743B1B5E"/>
    <w:rsid w:val="75731D9F"/>
    <w:rsid w:val="759566AB"/>
    <w:rsid w:val="76164A0F"/>
    <w:rsid w:val="766D7D05"/>
    <w:rsid w:val="76705FA6"/>
    <w:rsid w:val="778B574C"/>
    <w:rsid w:val="77910ADC"/>
    <w:rsid w:val="77FF5729"/>
    <w:rsid w:val="78D544E2"/>
    <w:rsid w:val="78DF2521"/>
    <w:rsid w:val="78FE1682"/>
    <w:rsid w:val="795A656B"/>
    <w:rsid w:val="796D317B"/>
    <w:rsid w:val="796F6A55"/>
    <w:rsid w:val="79E33BB3"/>
    <w:rsid w:val="7A801A8C"/>
    <w:rsid w:val="7A8A6C9D"/>
    <w:rsid w:val="7B101781"/>
    <w:rsid w:val="7CBE6056"/>
    <w:rsid w:val="7D5542DE"/>
    <w:rsid w:val="7DB73B40"/>
    <w:rsid w:val="7DC654FE"/>
    <w:rsid w:val="7E517F99"/>
    <w:rsid w:val="7E62526C"/>
    <w:rsid w:val="7EBFE696"/>
    <w:rsid w:val="7F5B4775"/>
    <w:rsid w:val="B3FD0AB2"/>
    <w:rsid w:val="F7B86D15"/>
    <w:rsid w:val="FCB4E2BB"/>
    <w:rsid w:val="FFFD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3"/>
    <w:unhideWhenUsed/>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120" w:line="240" w:lineRule="auto"/>
      <w:ind w:left="420" w:leftChars="200" w:firstLine="420"/>
    </w:pPr>
  </w:style>
  <w:style w:type="paragraph" w:styleId="3">
    <w:name w:val="Body Text Indent"/>
    <w:basedOn w:val="1"/>
    <w:qFormat/>
    <w:uiPriority w:val="0"/>
    <w:pPr>
      <w:spacing w:line="560" w:lineRule="exact"/>
      <w:ind w:firstLine="640" w:firstLineChars="200"/>
    </w:pPr>
  </w:style>
  <w:style w:type="paragraph" w:styleId="4">
    <w:name w:val="index 5"/>
    <w:basedOn w:val="1"/>
    <w:next w:val="1"/>
    <w:qFormat/>
    <w:uiPriority w:val="0"/>
    <w:pPr>
      <w:ind w:left="1680"/>
    </w:pPr>
  </w:style>
  <w:style w:type="paragraph" w:styleId="7">
    <w:name w:val="Body Text"/>
    <w:basedOn w:val="1"/>
    <w:qFormat/>
    <w:uiPriority w:val="99"/>
    <w:pPr>
      <w:spacing w:beforeLines="30"/>
    </w:pPr>
    <w:rPr>
      <w:rFonts w:ascii="仿宋_GB2312" w:eastAsia="仿宋_GB2312"/>
      <w:kern w:val="0"/>
      <w:sz w:val="24"/>
      <w:szCs w:val="20"/>
    </w:rPr>
  </w:style>
  <w:style w:type="paragraph" w:styleId="8">
    <w:name w:val="toc 3"/>
    <w:basedOn w:val="1"/>
    <w:next w:val="1"/>
    <w:qFormat/>
    <w:uiPriority w:val="0"/>
    <w:pPr>
      <w:ind w:left="840" w:leftChars="400"/>
    </w:pPr>
  </w:style>
  <w:style w:type="paragraph" w:styleId="9">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spacing w:before="120"/>
      <w:jc w:val="left"/>
    </w:pPr>
    <w:rPr>
      <w:rFonts w:ascii="等线" w:eastAsia="等线"/>
      <w:b/>
      <w:bCs/>
      <w:i/>
      <w:iCs/>
      <w:sz w:val="24"/>
    </w:rPr>
  </w:style>
  <w:style w:type="paragraph" w:styleId="12">
    <w:name w:val="toc 2"/>
    <w:basedOn w:val="1"/>
    <w:next w:val="1"/>
    <w:unhideWhenUsed/>
    <w:qFormat/>
    <w:uiPriority w:val="39"/>
    <w:pPr>
      <w:spacing w:before="120"/>
      <w:ind w:left="300"/>
      <w:jc w:val="left"/>
    </w:pPr>
    <w:rPr>
      <w:rFonts w:ascii="等线" w:eastAsia="等线"/>
      <w:b/>
      <w:bCs/>
      <w:sz w:val="22"/>
      <w:szCs w:val="22"/>
    </w:rPr>
  </w:style>
  <w:style w:type="paragraph" w:styleId="13">
    <w:name w:val="Title"/>
    <w:basedOn w:val="1"/>
    <w:qFormat/>
    <w:uiPriority w:val="0"/>
    <w:pPr>
      <w:spacing w:beforeLines="0" w:beforeAutospacing="0" w:afterLines="0" w:afterAutospacing="0"/>
      <w:ind w:firstLine="0" w:firstLineChars="0"/>
      <w:jc w:val="center"/>
      <w:outlineLvl w:val="0"/>
    </w:pPr>
    <w:rPr>
      <w:rFonts w:ascii="Arial" w:hAnsi="Arial" w:eastAsia="方正小标宋简体"/>
      <w:b/>
      <w:sz w:val="44"/>
    </w:rPr>
  </w:style>
  <w:style w:type="character" w:styleId="15">
    <w:name w:val="Strong"/>
    <w:basedOn w:val="14"/>
    <w:qFormat/>
    <w:uiPriority w:val="99"/>
    <w:rPr>
      <w:rFonts w:cs="Times New Roman"/>
      <w:b/>
    </w:rPr>
  </w:style>
  <w:style w:type="character" w:styleId="16">
    <w:name w:val="Hyperlink"/>
    <w:unhideWhenUsed/>
    <w:qFormat/>
    <w:uiPriority w:val="99"/>
    <w:rPr>
      <w:color w:val="0000FF"/>
      <w:u w:val="single"/>
    </w:rPr>
  </w:style>
  <w:style w:type="paragraph" w:customStyle="1" w:styleId="18">
    <w:name w:val="常用样式（方正仿宋简）"/>
    <w:basedOn w:val="1"/>
    <w:next w:val="1"/>
    <w:qFormat/>
    <w:uiPriority w:val="99"/>
    <w:pPr>
      <w:spacing w:line="560" w:lineRule="exact"/>
      <w:ind w:firstLine="640" w:firstLineChars="200"/>
    </w:pPr>
    <w:rPr>
      <w:sz w:val="32"/>
      <w:szCs w:val="32"/>
    </w:rPr>
  </w:style>
  <w:style w:type="character" w:customStyle="1" w:styleId="19">
    <w:name w:val=" Char Char6"/>
    <w:basedOn w:val="14"/>
    <w:link w:val="5"/>
    <w:qFormat/>
    <w:locked/>
    <w:uiPriority w:val="9"/>
    <w:rPr>
      <w:b/>
      <w:bCs/>
      <w:kern w:val="44"/>
      <w:sz w:val="44"/>
      <w:szCs w:val="44"/>
    </w:rPr>
  </w:style>
  <w:style w:type="character" w:customStyle="1" w:styleId="20">
    <w:name w:val=" Char Char5"/>
    <w:basedOn w:val="14"/>
    <w:link w:val="6"/>
    <w:qFormat/>
    <w:locked/>
    <w:uiPriority w:val="9"/>
    <w:rPr>
      <w:rFonts w:ascii="Cambria" w:hAnsi="Cambria"/>
      <w:b/>
      <w:bCs/>
      <w:sz w:val="32"/>
      <w:szCs w:val="32"/>
    </w:rPr>
  </w:style>
  <w:style w:type="paragraph" w:customStyle="1" w:styleId="21">
    <w:name w:val="List Paragraph"/>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3">
    <w:name w:val="标题 2 Char"/>
    <w:basedOn w:val="14"/>
    <w:link w:val="6"/>
    <w:qFormat/>
    <w:uiPriority w:val="9"/>
    <w:rPr>
      <w:rFonts w:asciiTheme="majorHAnsi" w:hAnsiTheme="majorHAnsi" w:eastAsiaTheme="majorEastAsia" w:cstheme="majorBidi"/>
      <w:b/>
      <w:bCs/>
      <w:kern w:val="2"/>
      <w:sz w:val="32"/>
      <w:szCs w:val="32"/>
    </w:rPr>
  </w:style>
  <w:style w:type="paragraph" w:customStyle="1" w:styleId="24">
    <w:name w:val="四号正文"/>
    <w:basedOn w:val="1"/>
    <w:qFormat/>
    <w:uiPriority w:val="0"/>
    <w:pPr>
      <w:widowControl/>
      <w:spacing w:line="360" w:lineRule="auto"/>
      <w:jc w:val="left"/>
    </w:pPr>
    <w:rPr>
      <w:rFonts w:ascii="??" w:hAnsi="??" w:eastAsia="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30005;&#33041;&#36164;&#26009;\F\&#26609;&#65292;&#39292;&#29366;&#22270;&#30340;&#20570;&#2786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30005;&#33041;&#36164;&#26009;\F\&#26609;&#65292;&#39292;&#29366;&#22270;&#30340;&#20570;&#2786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30005;&#33041;&#36164;&#26009;\F\&#26609;&#65292;&#39292;&#29366;&#22270;&#30340;&#20570;&#2786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30005;&#33041;&#36164;&#26009;\F\&#26609;&#65292;&#39292;&#29366;&#22270;&#30340;&#20570;&#2786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30005;&#33041;&#36164;&#26009;\F\&#26609;&#65292;&#39292;&#29366;&#22270;&#30340;&#20570;&#2786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0005;&#33041;&#36164;&#26009;\F\&#26609;&#65292;&#39292;&#29366;&#22270;&#30340;&#20570;&#2786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0005;&#33041;&#36164;&#26009;\F\&#26609;&#65292;&#39292;&#29366;&#22270;&#30340;&#20570;&#2786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收、支总计变动图（单位：万元） </a:t>
            </a:r>
          </a:p>
        </c:rich>
      </c:tx>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收、支总计变动图（单位：万元）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2021年</c:v>
                </c:pt>
                <c:pt idx="1">
                  <c:v>2022年</c:v>
                </c:pt>
              </c:strCache>
            </c:strRef>
          </c:cat>
          <c:val>
            <c:numRef>
              <c:f>'[柱，饼状图的做法.xlsx]Sheet2'!$B$3:$B$4</c:f>
              <c:numCache>
                <c:formatCode>General</c:formatCode>
                <c:ptCount val="2"/>
                <c:pt idx="0">
                  <c:v>2912.99</c:v>
                </c:pt>
                <c:pt idx="1">
                  <c:v>3597.01</c:v>
                </c:pt>
              </c:numCache>
            </c:numRef>
          </c:val>
        </c:ser>
        <c:dLbls>
          <c:showLegendKey val="0"/>
          <c:showVal val="1"/>
          <c:showCatName val="0"/>
          <c:showSerName val="0"/>
          <c:showPercent val="0"/>
          <c:showBubbleSize val="0"/>
        </c:dLbls>
        <c:gapWidth val="150"/>
        <c:overlap val="100"/>
        <c:axId val="558263063"/>
        <c:axId val="531865496"/>
      </c:barChart>
      <c:catAx>
        <c:axId val="5582630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1865496"/>
        <c:crosses val="autoZero"/>
        <c:auto val="1"/>
        <c:lblAlgn val="ctr"/>
        <c:lblOffset val="100"/>
        <c:noMultiLvlLbl val="0"/>
      </c:catAx>
      <c:valAx>
        <c:axId val="531865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263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收入决算结构图（单位：万元） </a:t>
            </a:r>
          </a:p>
        </c:rich>
      </c:tx>
      <c:layout/>
      <c:overlay val="0"/>
      <c:spPr>
        <a:noFill/>
        <a:ln>
          <a:noFill/>
        </a:ln>
        <a:effectLst/>
      </c:spPr>
    </c:title>
    <c:autoTitleDeleted val="0"/>
    <c:plotArea>
      <c:layout/>
      <c:pieChart>
        <c:varyColors val="1"/>
        <c:ser>
          <c:idx val="0"/>
          <c:order val="0"/>
          <c:tx>
            <c:strRef>
              <c:f>'[柱，饼状图的做法.xlsx]Sheet2'!$B$8:$B$9</c:f>
              <c:strCache>
                <c:ptCount val="1"/>
                <c:pt idx="0">
                  <c:v>收入决算结构图（单位：万元）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'[柱，饼状图的做法.xlsx]Sheet2'!$A$10:$A$17</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'[柱，饼状图的做法.xlsx]Sheet2'!$B$10:$B$17</c:f>
              <c:numCache>
                <c:formatCode>General</c:formatCode>
                <c:ptCount val="8"/>
                <c:pt idx="0">
                  <c:v>3597.01</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7"/>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 </a:t>
            </a:r>
          </a:p>
        </c:rich>
      </c:tx>
      <c:layout/>
      <c:overlay val="0"/>
      <c:spPr>
        <a:noFill/>
        <a:ln>
          <a:noFill/>
        </a:ln>
        <a:effectLst/>
      </c:spPr>
    </c:title>
    <c:autoTitleDeleted val="0"/>
    <c:plotArea>
      <c:layout/>
      <c:pieChart>
        <c:varyColors val="1"/>
        <c:ser>
          <c:idx val="0"/>
          <c:order val="0"/>
          <c:tx>
            <c:strRef>
              <c:f>'[柱，饼状图的做法.xlsx]Sheet2'!$B$8:$B$9</c:f>
              <c:strCache>
                <c:ptCount val="1"/>
                <c:pt idx="0">
                  <c:v>支出结构图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'[柱，饼状图的做法.xlsx]Sheet2'!$A$10:$A$14</c:f>
              <c:strCache>
                <c:ptCount val="5"/>
                <c:pt idx="0">
                  <c:v>基本支出</c:v>
                </c:pt>
                <c:pt idx="1">
                  <c:v>项目支出</c:v>
                </c:pt>
                <c:pt idx="2">
                  <c:v>上缴上级支出</c:v>
                </c:pt>
                <c:pt idx="3">
                  <c:v>经营支出</c:v>
                </c:pt>
                <c:pt idx="4">
                  <c:v>对附属单位补助支出</c:v>
                </c:pt>
              </c:strCache>
            </c:strRef>
          </c:cat>
          <c:val>
            <c:numRef>
              <c:f>'[柱，饼状图的做法.xlsx]Sheet2'!$B$10:$B$14</c:f>
              <c:numCache>
                <c:formatCode>0.00%</c:formatCode>
                <c:ptCount val="5"/>
                <c:pt idx="0">
                  <c:v>0.5554</c:v>
                </c:pt>
                <c:pt idx="1">
                  <c:v>0.4446</c:v>
                </c:pt>
                <c:pt idx="2" c:formatCode="General">
                  <c:v>0</c:v>
                </c:pt>
                <c:pt idx="3" c:formatCode="General">
                  <c:v>0</c:v>
                </c:pt>
                <c:pt idx="4"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（单位：万元） </a:t>
            </a:r>
          </a:p>
        </c:rich>
      </c:tx>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财政拨款收、支决算总计变动情况（单位：万元）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2021年</c:v>
                </c:pt>
                <c:pt idx="1">
                  <c:v>2022年</c:v>
                </c:pt>
              </c:strCache>
            </c:strRef>
          </c:cat>
          <c:val>
            <c:numRef>
              <c:f>'[柱，饼状图的做法.xlsx]Sheet2'!$B$3:$B$4</c:f>
              <c:numCache>
                <c:formatCode>General</c:formatCode>
                <c:ptCount val="2"/>
                <c:pt idx="0">
                  <c:v>2912.99</c:v>
                </c:pt>
                <c:pt idx="1">
                  <c:v>3597.01</c:v>
                </c:pt>
              </c:numCache>
            </c:numRef>
          </c:val>
        </c:ser>
        <c:dLbls>
          <c:showLegendKey val="0"/>
          <c:showVal val="1"/>
          <c:showCatName val="0"/>
          <c:showSerName val="0"/>
          <c:showPercent val="0"/>
          <c:showBubbleSize val="0"/>
        </c:dLbls>
        <c:gapWidth val="150"/>
        <c:overlap val="100"/>
        <c:axId val="366679650"/>
        <c:axId val="399101436"/>
      </c:barChart>
      <c:catAx>
        <c:axId val="3666796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101436"/>
        <c:crosses val="autoZero"/>
        <c:auto val="1"/>
        <c:lblAlgn val="ctr"/>
        <c:lblOffset val="100"/>
        <c:noMultiLvlLbl val="0"/>
      </c:catAx>
      <c:valAx>
        <c:axId val="3991014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6796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100"/>
              <a:t>一般公共预算财政拨款支出决算变动情况</a:t>
            </a:r>
            <a:endParaRPr sz="1100"/>
          </a:p>
          <a:p>
            <a:pPr defTabSz="914400">
              <a:defRPr lang="zh-CN" sz="1400" b="0" i="0" u="none" strike="noStrike" kern="1200" spc="0" baseline="0">
                <a:solidFill>
                  <a:schemeClr val="tx1">
                    <a:lumMod val="65000"/>
                    <a:lumOff val="35000"/>
                  </a:schemeClr>
                </a:solidFill>
                <a:latin typeface="+mn-lt"/>
                <a:ea typeface="+mn-ea"/>
                <a:cs typeface="+mn-cs"/>
              </a:defRPr>
            </a:pPr>
            <a:r>
              <a:rPr sz="1100"/>
              <a:t>（单位：万元） </a:t>
            </a:r>
            <a:endParaRPr sz="1100"/>
          </a:p>
        </c:rich>
      </c:tx>
      <c:layout>
        <c:manualLayout>
          <c:xMode val="edge"/>
          <c:yMode val="edge"/>
          <c:x val="0.267222222222222"/>
          <c:y val="0.0243055555555556"/>
        </c:manualLayout>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一般公共预算财政拨款支出决算变动情况（单位：万元）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一般公共预算财政拨款支出</c:v>
                </c:pt>
                <c:pt idx="1">
                  <c:v>本年支出</c:v>
                </c:pt>
              </c:strCache>
            </c:strRef>
          </c:cat>
          <c:val>
            <c:numRef>
              <c:f>'[柱，饼状图的做法.xlsx]Sheet2'!$B$3:$B$4</c:f>
              <c:numCache>
                <c:formatCode>General</c:formatCode>
                <c:ptCount val="2"/>
                <c:pt idx="0">
                  <c:v>3597.01</c:v>
                </c:pt>
                <c:pt idx="1">
                  <c:v>3597.01</c:v>
                </c:pt>
              </c:numCache>
            </c:numRef>
          </c:val>
        </c:ser>
        <c:dLbls>
          <c:showLegendKey val="0"/>
          <c:showVal val="1"/>
          <c:showCatName val="0"/>
          <c:showSerName val="0"/>
          <c:showPercent val="0"/>
          <c:showBubbleSize val="0"/>
        </c:dLbls>
        <c:gapWidth val="150"/>
        <c:overlap val="100"/>
        <c:axId val="51329917"/>
        <c:axId val="260801328"/>
      </c:barChart>
      <c:catAx>
        <c:axId val="513299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801328"/>
        <c:crosses val="autoZero"/>
        <c:auto val="1"/>
        <c:lblAlgn val="ctr"/>
        <c:lblOffset val="100"/>
        <c:noMultiLvlLbl val="0"/>
      </c:catAx>
      <c:valAx>
        <c:axId val="26080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299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一般公共预算财政拨款支出决算结构图 </a:t>
            </a:r>
            <a:endParaRPr sz="1200"/>
          </a:p>
        </c:rich>
      </c:tx>
      <c:layout>
        <c:manualLayout>
          <c:xMode val="edge"/>
          <c:yMode val="edge"/>
          <c:x val="0.120085775553967"/>
          <c:y val="0.0199203187250996"/>
        </c:manualLayout>
      </c:layout>
      <c:overlay val="0"/>
      <c:spPr>
        <a:noFill/>
        <a:ln>
          <a:noFill/>
        </a:ln>
        <a:effectLst/>
      </c:spPr>
    </c:title>
    <c:autoTitleDeleted val="0"/>
    <c:plotArea>
      <c:layout/>
      <c:pieChart>
        <c:varyColors val="1"/>
        <c:ser>
          <c:idx val="0"/>
          <c:order val="0"/>
          <c:tx>
            <c:strRef>
              <c:f>'[柱，饼状图的做法.xlsx]Sheet2'!$B$8:$B$9</c:f>
              <c:strCache>
                <c:ptCount val="1"/>
                <c:pt idx="0">
                  <c:v>一般公共预算财政拨款支出决算结构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5"/>
              <c:layout>
                <c:manualLayout>
                  <c:x val="-0.00845253027510696"/>
                  <c:y val="-0.006399368966995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41535591320853"/>
                  <c:y val="0.014900007105727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'[柱，饼状图的做法.xlsx]Sheet2'!$A$10:$A$16</c:f>
              <c:strCache>
                <c:ptCount val="7"/>
                <c:pt idx="0">
                  <c:v>一般公共服务支出</c:v>
                </c:pt>
                <c:pt idx="1">
                  <c:v>教育支出</c:v>
                </c:pt>
                <c:pt idx="2">
                  <c:v>科学技术支出</c:v>
                </c:pt>
                <c:pt idx="3">
                  <c:v>文化旅游体育与传媒支出</c:v>
                </c:pt>
                <c:pt idx="4">
                  <c:v>社会保障和就业支出</c:v>
                </c:pt>
                <c:pt idx="5">
                  <c:v>卫生健康支出</c:v>
                </c:pt>
                <c:pt idx="6">
                  <c:v>住房保障支出</c:v>
                </c:pt>
              </c:strCache>
            </c:strRef>
          </c:cat>
          <c:val>
            <c:numRef>
              <c:f>'[柱，饼状图的做法.xlsx]Sheet2'!$B$10:$B$16</c:f>
              <c:numCache>
                <c:formatCode>0.00%</c:formatCode>
                <c:ptCount val="7"/>
                <c:pt idx="0">
                  <c:v>0.8544</c:v>
                </c:pt>
                <c:pt idx="1" c:formatCode="0%">
                  <c:v>0</c:v>
                </c:pt>
                <c:pt idx="2" c:formatCode="0%">
                  <c:v>0</c:v>
                </c:pt>
                <c:pt idx="3" c:formatCode="0%">
                  <c:v>0</c:v>
                </c:pt>
                <c:pt idx="4">
                  <c:v>0.0881</c:v>
                </c:pt>
                <c:pt idx="5">
                  <c:v>0.0219</c:v>
                </c:pt>
                <c:pt idx="6">
                  <c:v>0.0356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600"/>
              <a:t>“三公”经费财政拨款支出结构图 </a:t>
            </a:r>
            <a:endParaRPr sz="1600"/>
          </a:p>
        </c:rich>
      </c:tx>
      <c:layout/>
      <c:overlay val="0"/>
      <c:spPr>
        <a:noFill/>
        <a:ln>
          <a:noFill/>
        </a:ln>
        <a:effectLst/>
      </c:spPr>
    </c:title>
    <c:autoTitleDeleted val="0"/>
    <c:plotArea>
      <c:layout>
        <c:manualLayout>
          <c:layoutTarget val="inner"/>
          <c:xMode val="edge"/>
          <c:yMode val="edge"/>
          <c:x val="0.364263814616756"/>
          <c:y val="0.509889861621011"/>
          <c:w val="0.234039215686275"/>
          <c:h val="0.370787913018921"/>
        </c:manualLayout>
      </c:layout>
      <c:pieChart>
        <c:varyColors val="1"/>
        <c:ser>
          <c:idx val="0"/>
          <c:order val="0"/>
          <c:tx>
            <c:strRef>
              <c:f>'[柱，饼状图的做法.xlsx]Sheet2'!$B$8:$B$9</c:f>
              <c:strCache>
                <c:ptCount val="1"/>
                <c:pt idx="0">
                  <c:v>“三公”经费财政拨款支出结构图 金额</c:v>
                </c:pt>
              </c:strCache>
            </c:strRef>
          </c:tx>
          <c:spPr/>
          <c:explosion val="0"/>
          <c:dPt>
            <c:idx val="0"/>
            <c:bubble3D val="0"/>
            <c:spPr>
              <a:solidFill>
                <a:schemeClr val="accent1"/>
              </a:solidFill>
              <a:ln w="19050">
                <a:solidFill>
                  <a:schemeClr val="lt1"/>
                </a:solidFill>
              </a:ln>
              <a:effectLst/>
            </c:spPr>
          </c:dPt>
          <c:dPt>
            <c:idx val="1"/>
            <c:bubble3D val="0"/>
            <c:explosion val="16"/>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294117647058824"/>
                  <c:y val="-0.1482632024851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7359242953912"/>
                  <c:y val="0.01442617476810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'[柱，饼状图的做法.xlsx]Sheet2'!$A$10:$A$12</c:f>
              <c:strCache>
                <c:ptCount val="3"/>
                <c:pt idx="0">
                  <c:v>因公出国（境）费支出</c:v>
                </c:pt>
                <c:pt idx="1">
                  <c:v>公务用车购置及运行维护费</c:v>
                </c:pt>
                <c:pt idx="2">
                  <c:v>公务接待费</c:v>
                </c:pt>
              </c:strCache>
            </c:strRef>
          </c:cat>
          <c:val>
            <c:numRef>
              <c:f>'[柱，饼状图的做法.xlsx]Sheet2'!$B$10:$B$12</c:f>
              <c:numCache>
                <c:formatCode>General</c:formatCode>
                <c:ptCount val="3"/>
                <c:pt idx="0">
                  <c:v>0</c:v>
                </c:pt>
                <c:pt idx="1" c:formatCode="0.00%">
                  <c:v>0.9268</c:v>
                </c:pt>
                <c:pt idx="2" c:formatCode="0.00%">
                  <c:v>0.0732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866096866096866"/>
          <c:y val="0.263639044529637"/>
          <c:w val="0.79031339031339"/>
          <c:h val="0.1769389560601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2021-09-09T19:29:00Z</dcterms:created>
  <dc:creator>Administrator</dc:creator>
  <cp:lastModifiedBy>Administrator</cp:lastModifiedBy>
  <cp:lastPrinted>2023-09-21T07:56:00Z</cp:lastPrinted>
  <dcterms:modified xsi:type="dcterms:W3CDTF">2023-10-11T01:36:40Z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